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7D87" w:rsidRPr="000D61F5" w:rsidRDefault="00247D87" w:rsidP="00247D87">
      <w:pPr>
        <w:ind w:left="180"/>
        <w:jc w:val="both"/>
        <w:rPr>
          <w:rFonts w:ascii="Garamond" w:hAnsi="Garamond"/>
          <w:sz w:val="22"/>
          <w:szCs w:val="22"/>
        </w:rPr>
      </w:pPr>
      <w:r w:rsidRPr="000D61F5">
        <w:rPr>
          <w:rFonts w:ascii="Garamond" w:hAnsi="Garamond"/>
          <w:sz w:val="22"/>
          <w:szCs w:val="22"/>
        </w:rPr>
        <w:t>In deze Prinsjesdagspecial staan de belangrijkste voorstellen uit het Belastingplan 201</w:t>
      </w:r>
      <w:r w:rsidR="004B044E">
        <w:rPr>
          <w:rFonts w:ascii="Garamond" w:hAnsi="Garamond"/>
          <w:sz w:val="22"/>
          <w:szCs w:val="22"/>
        </w:rPr>
        <w:t>7</w:t>
      </w:r>
      <w:r w:rsidRPr="000D61F5">
        <w:rPr>
          <w:rFonts w:ascii="Garamond" w:hAnsi="Garamond"/>
          <w:sz w:val="22"/>
          <w:szCs w:val="22"/>
        </w:rPr>
        <w:t xml:space="preserve"> </w:t>
      </w:r>
      <w:r w:rsidR="004B6620">
        <w:rPr>
          <w:rFonts w:ascii="Garamond" w:hAnsi="Garamond"/>
          <w:sz w:val="22"/>
          <w:szCs w:val="22"/>
        </w:rPr>
        <w:t xml:space="preserve">en aanvullende wetsvoorstellen </w:t>
      </w:r>
      <w:r w:rsidRPr="000D61F5">
        <w:rPr>
          <w:rFonts w:ascii="Garamond" w:hAnsi="Garamond"/>
          <w:sz w:val="22"/>
          <w:szCs w:val="22"/>
        </w:rPr>
        <w:t xml:space="preserve">voor u op rij. De special is verdeeld in de volgende onderwerpen: </w:t>
      </w:r>
    </w:p>
    <w:p w:rsidR="005A6635" w:rsidRPr="005A6635" w:rsidRDefault="005A6635" w:rsidP="005A6635">
      <w:pPr>
        <w:ind w:left="180"/>
        <w:jc w:val="both"/>
        <w:rPr>
          <w:rFonts w:ascii="Garamond" w:hAnsi="Garamond"/>
          <w:sz w:val="22"/>
          <w:szCs w:val="22"/>
        </w:rPr>
      </w:pPr>
      <w:r w:rsidRPr="005A6635">
        <w:rPr>
          <w:rFonts w:ascii="Garamond" w:hAnsi="Garamond"/>
          <w:sz w:val="22"/>
          <w:szCs w:val="22"/>
        </w:rPr>
        <w:t>-</w:t>
      </w:r>
      <w:r w:rsidRPr="005A6635">
        <w:rPr>
          <w:rFonts w:ascii="Garamond" w:hAnsi="Garamond"/>
          <w:sz w:val="22"/>
          <w:szCs w:val="22"/>
        </w:rPr>
        <w:tab/>
        <w:t>maatregelen ondernemingen;</w:t>
      </w:r>
    </w:p>
    <w:p w:rsidR="005A6635" w:rsidRPr="005A6635" w:rsidRDefault="005A6635" w:rsidP="005A6635">
      <w:pPr>
        <w:ind w:left="180"/>
        <w:jc w:val="both"/>
        <w:rPr>
          <w:rFonts w:ascii="Garamond" w:hAnsi="Garamond"/>
          <w:sz w:val="22"/>
          <w:szCs w:val="22"/>
        </w:rPr>
      </w:pPr>
      <w:r w:rsidRPr="005A6635">
        <w:rPr>
          <w:rFonts w:ascii="Garamond" w:hAnsi="Garamond"/>
          <w:sz w:val="22"/>
          <w:szCs w:val="22"/>
        </w:rPr>
        <w:t>-</w:t>
      </w:r>
      <w:r w:rsidRPr="005A6635">
        <w:rPr>
          <w:rFonts w:ascii="Garamond" w:hAnsi="Garamond"/>
          <w:sz w:val="22"/>
          <w:szCs w:val="22"/>
        </w:rPr>
        <w:tab/>
        <w:t>maatregelen werkgever;</w:t>
      </w:r>
    </w:p>
    <w:p w:rsidR="005A6635" w:rsidRPr="005A6635" w:rsidRDefault="005A6635" w:rsidP="005A6635">
      <w:pPr>
        <w:ind w:left="180"/>
        <w:jc w:val="both"/>
        <w:rPr>
          <w:rFonts w:ascii="Garamond" w:hAnsi="Garamond"/>
          <w:sz w:val="22"/>
          <w:szCs w:val="22"/>
        </w:rPr>
      </w:pPr>
      <w:r w:rsidRPr="005A6635">
        <w:rPr>
          <w:rFonts w:ascii="Garamond" w:hAnsi="Garamond"/>
          <w:sz w:val="22"/>
          <w:szCs w:val="22"/>
        </w:rPr>
        <w:t>-</w:t>
      </w:r>
      <w:r w:rsidRPr="005A6635">
        <w:rPr>
          <w:rFonts w:ascii="Garamond" w:hAnsi="Garamond"/>
          <w:sz w:val="22"/>
          <w:szCs w:val="22"/>
        </w:rPr>
        <w:tab/>
        <w:t>maatregelen eigen woning;</w:t>
      </w:r>
    </w:p>
    <w:p w:rsidR="005A6635" w:rsidRDefault="005A6635" w:rsidP="005A6635">
      <w:pPr>
        <w:ind w:left="180"/>
        <w:jc w:val="both"/>
        <w:rPr>
          <w:rFonts w:ascii="Garamond" w:hAnsi="Garamond"/>
          <w:sz w:val="22"/>
          <w:szCs w:val="22"/>
        </w:rPr>
      </w:pPr>
      <w:r w:rsidRPr="005A6635">
        <w:rPr>
          <w:rFonts w:ascii="Garamond" w:hAnsi="Garamond"/>
          <w:sz w:val="22"/>
          <w:szCs w:val="22"/>
        </w:rPr>
        <w:t xml:space="preserve">- </w:t>
      </w:r>
      <w:r w:rsidRPr="005A6635">
        <w:rPr>
          <w:rFonts w:ascii="Garamond" w:hAnsi="Garamond"/>
          <w:sz w:val="22"/>
          <w:szCs w:val="22"/>
        </w:rPr>
        <w:tab/>
        <w:t xml:space="preserve">maatregelen </w:t>
      </w:r>
      <w:r w:rsidR="006A52E6">
        <w:rPr>
          <w:rFonts w:ascii="Garamond" w:hAnsi="Garamond"/>
          <w:sz w:val="22"/>
          <w:szCs w:val="22"/>
        </w:rPr>
        <w:t>vermogende particulieren</w:t>
      </w:r>
      <w:r w:rsidRPr="005A6635">
        <w:rPr>
          <w:rFonts w:ascii="Garamond" w:hAnsi="Garamond"/>
          <w:sz w:val="22"/>
          <w:szCs w:val="22"/>
        </w:rPr>
        <w:t>;</w:t>
      </w:r>
    </w:p>
    <w:p w:rsidR="006A52E6" w:rsidRDefault="006A52E6" w:rsidP="005A6635">
      <w:pPr>
        <w:ind w:left="180"/>
        <w:jc w:val="both"/>
        <w:rPr>
          <w:rFonts w:ascii="Garamond" w:hAnsi="Garamond"/>
          <w:sz w:val="22"/>
          <w:szCs w:val="22"/>
        </w:rPr>
      </w:pPr>
      <w:r>
        <w:rPr>
          <w:rFonts w:ascii="Garamond" w:hAnsi="Garamond"/>
          <w:sz w:val="22"/>
          <w:szCs w:val="22"/>
        </w:rPr>
        <w:t>-</w:t>
      </w:r>
      <w:r>
        <w:rPr>
          <w:rFonts w:ascii="Garamond" w:hAnsi="Garamond"/>
          <w:sz w:val="22"/>
          <w:szCs w:val="22"/>
        </w:rPr>
        <w:tab/>
        <w:t>maatregelen internationale situaties</w:t>
      </w:r>
      <w:r w:rsidR="00ED1401">
        <w:rPr>
          <w:rFonts w:ascii="Garamond" w:hAnsi="Garamond"/>
          <w:sz w:val="22"/>
          <w:szCs w:val="22"/>
        </w:rPr>
        <w:t>;</w:t>
      </w:r>
    </w:p>
    <w:p w:rsidR="006A52E6" w:rsidRDefault="006A52E6" w:rsidP="005A6635">
      <w:pPr>
        <w:ind w:left="180"/>
        <w:jc w:val="both"/>
        <w:rPr>
          <w:rFonts w:ascii="Garamond" w:hAnsi="Garamond"/>
          <w:sz w:val="22"/>
          <w:szCs w:val="22"/>
        </w:rPr>
      </w:pPr>
      <w:r>
        <w:rPr>
          <w:rFonts w:ascii="Garamond" w:hAnsi="Garamond"/>
          <w:sz w:val="22"/>
          <w:szCs w:val="22"/>
        </w:rPr>
        <w:t>-</w:t>
      </w:r>
      <w:r>
        <w:rPr>
          <w:rFonts w:ascii="Garamond" w:hAnsi="Garamond"/>
          <w:sz w:val="22"/>
          <w:szCs w:val="22"/>
        </w:rPr>
        <w:tab/>
        <w:t>maatregelen btw en accijnzen</w:t>
      </w:r>
      <w:r w:rsidR="00ED1401">
        <w:rPr>
          <w:rFonts w:ascii="Garamond" w:hAnsi="Garamond"/>
          <w:sz w:val="22"/>
          <w:szCs w:val="22"/>
        </w:rPr>
        <w:t>;</w:t>
      </w:r>
    </w:p>
    <w:p w:rsidR="006A52E6" w:rsidRPr="005A6635" w:rsidRDefault="005A6635" w:rsidP="006A52E6">
      <w:pPr>
        <w:ind w:left="180"/>
        <w:jc w:val="both"/>
        <w:rPr>
          <w:rFonts w:ascii="Garamond" w:hAnsi="Garamond"/>
          <w:sz w:val="22"/>
          <w:szCs w:val="22"/>
        </w:rPr>
      </w:pPr>
      <w:r>
        <w:rPr>
          <w:rFonts w:ascii="Garamond" w:hAnsi="Garamond"/>
          <w:sz w:val="22"/>
          <w:szCs w:val="22"/>
        </w:rPr>
        <w:t>-</w:t>
      </w:r>
      <w:r>
        <w:rPr>
          <w:rFonts w:ascii="Garamond" w:hAnsi="Garamond"/>
          <w:sz w:val="22"/>
          <w:szCs w:val="22"/>
        </w:rPr>
        <w:tab/>
      </w:r>
      <w:r w:rsidR="006A52E6">
        <w:rPr>
          <w:rFonts w:ascii="Garamond" w:hAnsi="Garamond"/>
          <w:sz w:val="22"/>
          <w:szCs w:val="22"/>
        </w:rPr>
        <w:t>fiscale pensioenmaatregelen</w:t>
      </w:r>
      <w:r w:rsidRPr="005A6635">
        <w:rPr>
          <w:rFonts w:ascii="Garamond" w:hAnsi="Garamond"/>
          <w:sz w:val="22"/>
          <w:szCs w:val="22"/>
        </w:rPr>
        <w:t>;</w:t>
      </w:r>
    </w:p>
    <w:p w:rsidR="009A4022" w:rsidRDefault="00ED1401" w:rsidP="009A4022">
      <w:pPr>
        <w:ind w:left="180"/>
        <w:jc w:val="both"/>
        <w:rPr>
          <w:rFonts w:ascii="Garamond" w:hAnsi="Garamond"/>
          <w:sz w:val="22"/>
          <w:szCs w:val="22"/>
        </w:rPr>
      </w:pPr>
      <w:r>
        <w:rPr>
          <w:rFonts w:ascii="Garamond" w:hAnsi="Garamond"/>
          <w:sz w:val="22"/>
          <w:szCs w:val="22"/>
        </w:rPr>
        <w:t>-</w:t>
      </w:r>
      <w:r>
        <w:rPr>
          <w:rFonts w:ascii="Garamond" w:hAnsi="Garamond"/>
          <w:sz w:val="22"/>
          <w:szCs w:val="22"/>
        </w:rPr>
        <w:tab/>
        <w:t>overige maatregelen;</w:t>
      </w:r>
    </w:p>
    <w:p w:rsidR="009A4022" w:rsidRDefault="003B5A90" w:rsidP="009A4022">
      <w:pPr>
        <w:ind w:left="180"/>
        <w:jc w:val="both"/>
        <w:rPr>
          <w:rFonts w:ascii="Garamond" w:hAnsi="Garamond"/>
          <w:sz w:val="22"/>
          <w:szCs w:val="22"/>
        </w:rPr>
      </w:pPr>
      <w:r>
        <w:rPr>
          <w:rFonts w:ascii="Garamond" w:hAnsi="Garamond"/>
          <w:sz w:val="22"/>
          <w:szCs w:val="22"/>
        </w:rPr>
        <w:t>-</w:t>
      </w:r>
      <w:r>
        <w:rPr>
          <w:rFonts w:ascii="Garamond" w:hAnsi="Garamond"/>
          <w:sz w:val="22"/>
          <w:szCs w:val="22"/>
        </w:rPr>
        <w:tab/>
        <w:t>e</w:t>
      </w:r>
      <w:r w:rsidR="00ED1401">
        <w:rPr>
          <w:rFonts w:ascii="Garamond" w:hAnsi="Garamond"/>
          <w:sz w:val="22"/>
          <w:szCs w:val="22"/>
        </w:rPr>
        <w:t>erder aangekondigde maatregelen.</w:t>
      </w:r>
    </w:p>
    <w:p w:rsidR="00ED1401" w:rsidRDefault="00ED1401" w:rsidP="009A4022">
      <w:pPr>
        <w:ind w:left="180"/>
        <w:jc w:val="both"/>
        <w:rPr>
          <w:rFonts w:ascii="Garamond" w:hAnsi="Garamond"/>
          <w:sz w:val="22"/>
          <w:szCs w:val="22"/>
        </w:rPr>
      </w:pPr>
    </w:p>
    <w:p w:rsidR="009A4022" w:rsidRDefault="009A4022" w:rsidP="009A4022">
      <w:pPr>
        <w:ind w:left="180"/>
        <w:jc w:val="both"/>
        <w:rPr>
          <w:rFonts w:ascii="Garamond" w:hAnsi="Garamond"/>
          <w:sz w:val="22"/>
          <w:szCs w:val="22"/>
        </w:rPr>
      </w:pPr>
      <w:r>
        <w:rPr>
          <w:rFonts w:ascii="Garamond" w:hAnsi="Garamond"/>
          <w:sz w:val="22"/>
          <w:szCs w:val="22"/>
        </w:rPr>
        <w:t>Uitgelicht:</w:t>
      </w:r>
    </w:p>
    <w:p w:rsidR="009A4022" w:rsidRPr="006A52E6" w:rsidRDefault="006A52E6" w:rsidP="006A52E6">
      <w:pPr>
        <w:pStyle w:val="Lijstalinea"/>
        <w:numPr>
          <w:ilvl w:val="0"/>
          <w:numId w:val="14"/>
        </w:numPr>
        <w:jc w:val="both"/>
        <w:rPr>
          <w:rFonts w:ascii="Garamond" w:hAnsi="Garamond"/>
        </w:rPr>
      </w:pPr>
      <w:r>
        <w:rPr>
          <w:rFonts w:ascii="Garamond" w:hAnsi="Garamond"/>
        </w:rPr>
        <w:t xml:space="preserve">  </w:t>
      </w:r>
      <w:r w:rsidR="009A4022" w:rsidRPr="006A52E6">
        <w:rPr>
          <w:rFonts w:ascii="Garamond" w:hAnsi="Garamond"/>
        </w:rPr>
        <w:t>Afschaffing pensioen in eigen beheer</w:t>
      </w:r>
    </w:p>
    <w:p w:rsidR="00247D87" w:rsidRDefault="00247D87" w:rsidP="00247D87">
      <w:pPr>
        <w:ind w:left="180"/>
        <w:jc w:val="both"/>
        <w:rPr>
          <w:rFonts w:ascii="Garamond" w:hAnsi="Garamond"/>
          <w:sz w:val="22"/>
          <w:szCs w:val="22"/>
        </w:rPr>
      </w:pPr>
      <w:r w:rsidRPr="000D61F5">
        <w:rPr>
          <w:rFonts w:ascii="Garamond" w:hAnsi="Garamond"/>
          <w:sz w:val="22"/>
          <w:szCs w:val="22"/>
        </w:rPr>
        <w:t>De voorge</w:t>
      </w:r>
      <w:r w:rsidR="00BE1939">
        <w:rPr>
          <w:rFonts w:ascii="Garamond" w:hAnsi="Garamond"/>
          <w:sz w:val="22"/>
          <w:szCs w:val="22"/>
        </w:rPr>
        <w:t xml:space="preserve">stelde maatregelen zullen per 1 </w:t>
      </w:r>
      <w:r w:rsidRPr="000D61F5">
        <w:rPr>
          <w:rFonts w:ascii="Garamond" w:hAnsi="Garamond"/>
          <w:sz w:val="22"/>
          <w:szCs w:val="22"/>
        </w:rPr>
        <w:t>januari 201</w:t>
      </w:r>
      <w:r w:rsidR="004B044E">
        <w:rPr>
          <w:rFonts w:ascii="Garamond" w:hAnsi="Garamond"/>
          <w:sz w:val="22"/>
          <w:szCs w:val="22"/>
        </w:rPr>
        <w:t>7</w:t>
      </w:r>
      <w:r w:rsidRPr="000D61F5">
        <w:rPr>
          <w:rFonts w:ascii="Garamond" w:hAnsi="Garamond"/>
          <w:sz w:val="22"/>
          <w:szCs w:val="22"/>
        </w:rPr>
        <w:t xml:space="preserve"> in werking treden, tenzij anders vermeld.</w:t>
      </w:r>
    </w:p>
    <w:p w:rsidR="002A3CD2" w:rsidRDefault="002A3CD2" w:rsidP="00B35628">
      <w:pPr>
        <w:ind w:left="180"/>
        <w:jc w:val="both"/>
        <w:rPr>
          <w:rFonts w:ascii="Syntax-Roman" w:hAnsi="Syntax-Roman"/>
          <w:b/>
          <w:sz w:val="22"/>
          <w:szCs w:val="22"/>
        </w:rPr>
      </w:pPr>
    </w:p>
    <w:p w:rsidR="00ED1401" w:rsidRDefault="00ED1401" w:rsidP="00B35628">
      <w:pPr>
        <w:ind w:left="180"/>
        <w:jc w:val="both"/>
        <w:rPr>
          <w:rFonts w:ascii="Syntax-Roman" w:hAnsi="Syntax-Roman"/>
          <w:b/>
          <w:sz w:val="22"/>
          <w:szCs w:val="22"/>
        </w:rPr>
      </w:pPr>
    </w:p>
    <w:p w:rsidR="005A6635" w:rsidRPr="006A13EA" w:rsidRDefault="005A6635" w:rsidP="005A6635">
      <w:pPr>
        <w:ind w:left="180"/>
        <w:jc w:val="both"/>
        <w:rPr>
          <w:rFonts w:ascii="Syntax-Roman" w:hAnsi="Syntax-Roman"/>
          <w:b/>
          <w:sz w:val="22"/>
          <w:szCs w:val="22"/>
        </w:rPr>
      </w:pPr>
      <w:r w:rsidRPr="006A13EA">
        <w:rPr>
          <w:rFonts w:ascii="Syntax-Roman" w:hAnsi="Syntax-Roman"/>
          <w:b/>
          <w:sz w:val="22"/>
          <w:szCs w:val="22"/>
        </w:rPr>
        <w:t>MAATREGELEN ONDERNEMINGEN</w:t>
      </w:r>
    </w:p>
    <w:p w:rsidR="005A6635" w:rsidRPr="006A13EA" w:rsidRDefault="005A6635" w:rsidP="005A6635">
      <w:pPr>
        <w:ind w:left="180"/>
        <w:jc w:val="both"/>
        <w:rPr>
          <w:rFonts w:ascii="Garamond" w:hAnsi="Garamond"/>
          <w:sz w:val="22"/>
          <w:szCs w:val="22"/>
        </w:rPr>
      </w:pPr>
    </w:p>
    <w:p w:rsidR="003B5A90" w:rsidRPr="006A13EA" w:rsidRDefault="003B5A90" w:rsidP="003B5A90">
      <w:pPr>
        <w:ind w:left="180"/>
        <w:jc w:val="both"/>
        <w:rPr>
          <w:rFonts w:ascii="Syntax-Roman" w:hAnsi="Syntax-Roman"/>
          <w:b/>
          <w:sz w:val="22"/>
          <w:szCs w:val="22"/>
        </w:rPr>
      </w:pPr>
      <w:r w:rsidRPr="006A13EA">
        <w:rPr>
          <w:rFonts w:ascii="Syntax-Roman" w:hAnsi="Syntax-Roman"/>
          <w:b/>
          <w:sz w:val="22"/>
          <w:szCs w:val="22"/>
        </w:rPr>
        <w:t>Nieuwe tarieven inkomstenbelasting</w:t>
      </w:r>
    </w:p>
    <w:p w:rsidR="003B5A90" w:rsidRPr="006A13EA" w:rsidRDefault="003B5A90" w:rsidP="003B5A90">
      <w:pPr>
        <w:ind w:left="180"/>
        <w:jc w:val="both"/>
        <w:rPr>
          <w:rFonts w:ascii="Garamond" w:hAnsi="Garamond"/>
          <w:sz w:val="22"/>
          <w:szCs w:val="22"/>
        </w:rPr>
      </w:pPr>
      <w:r w:rsidRPr="006A13EA">
        <w:rPr>
          <w:rFonts w:ascii="Garamond" w:hAnsi="Garamond"/>
          <w:sz w:val="22"/>
          <w:szCs w:val="22"/>
        </w:rPr>
        <w:t>Voor belastingplichtigen die zijn geboren op 1</w:t>
      </w:r>
      <w:r>
        <w:rPr>
          <w:rFonts w:ascii="Garamond" w:hAnsi="Garamond"/>
          <w:sz w:val="22"/>
          <w:szCs w:val="22"/>
        </w:rPr>
        <w:t> </w:t>
      </w:r>
      <w:r w:rsidRPr="006A13EA">
        <w:rPr>
          <w:rFonts w:ascii="Garamond" w:hAnsi="Garamond"/>
          <w:sz w:val="22"/>
          <w:szCs w:val="22"/>
        </w:rPr>
        <w:t xml:space="preserve">januari 1946 of later gelden </w:t>
      </w:r>
      <w:r>
        <w:rPr>
          <w:rFonts w:ascii="Garamond" w:hAnsi="Garamond"/>
          <w:sz w:val="22"/>
          <w:szCs w:val="22"/>
        </w:rPr>
        <w:t xml:space="preserve">hoogstwaarschijnlijk </w:t>
      </w:r>
      <w:r w:rsidRPr="006A13EA">
        <w:rPr>
          <w:rFonts w:ascii="Garamond" w:hAnsi="Garamond"/>
          <w:sz w:val="22"/>
          <w:szCs w:val="22"/>
        </w:rPr>
        <w:t>de volgende tarieven in box 1 van de inkomstenbelasting:</w:t>
      </w:r>
    </w:p>
    <w:p w:rsidR="003B5A90" w:rsidRPr="006A13EA" w:rsidRDefault="003B5A90" w:rsidP="003B5A90">
      <w:pPr>
        <w:ind w:left="180"/>
        <w:jc w:val="both"/>
        <w:rPr>
          <w:rFonts w:ascii="Garamond" w:hAnsi="Garamond"/>
          <w:sz w:val="22"/>
          <w:szCs w:val="22"/>
        </w:rPr>
      </w:pPr>
    </w:p>
    <w:p w:rsidR="003B5A90" w:rsidRPr="006A13EA" w:rsidRDefault="003B5A90" w:rsidP="003B5A90">
      <w:pPr>
        <w:ind w:left="180"/>
        <w:jc w:val="both"/>
        <w:rPr>
          <w:rFonts w:ascii="Garamond" w:hAnsi="Garamond"/>
          <w:sz w:val="22"/>
          <w:szCs w:val="22"/>
        </w:rPr>
      </w:pPr>
      <w:r w:rsidRPr="006A13EA">
        <w:rPr>
          <w:rFonts w:ascii="Garamond" w:hAnsi="Garamond"/>
          <w:sz w:val="22"/>
          <w:szCs w:val="22"/>
        </w:rPr>
        <w:t xml:space="preserve">Tarief </w:t>
      </w:r>
      <w:proofErr w:type="gramStart"/>
      <w:r w:rsidRPr="006A13EA">
        <w:rPr>
          <w:rFonts w:ascii="Garamond" w:hAnsi="Garamond"/>
          <w:sz w:val="22"/>
          <w:szCs w:val="22"/>
        </w:rPr>
        <w:t>inkomstenbelasting /</w:t>
      </w:r>
      <w:proofErr w:type="gramEnd"/>
      <w:r w:rsidRPr="006A13EA">
        <w:rPr>
          <w:rFonts w:ascii="Garamond" w:hAnsi="Garamond"/>
          <w:sz w:val="22"/>
          <w:szCs w:val="22"/>
        </w:rPr>
        <w:t xml:space="preserve"> premie</w:t>
      </w:r>
      <w:r>
        <w:rPr>
          <w:rFonts w:ascii="Garamond" w:hAnsi="Garamond"/>
          <w:sz w:val="22"/>
          <w:szCs w:val="22"/>
        </w:rPr>
        <w:t>s</w:t>
      </w:r>
      <w:r w:rsidRPr="006A13EA">
        <w:rPr>
          <w:rFonts w:ascii="Garamond" w:hAnsi="Garamond"/>
          <w:sz w:val="22"/>
          <w:szCs w:val="22"/>
        </w:rPr>
        <w:t xml:space="preserve"> volksverzekeringen 201</w:t>
      </w:r>
      <w:r>
        <w:rPr>
          <w:rFonts w:ascii="Garamond" w:hAnsi="Garamond"/>
          <w:sz w:val="22"/>
          <w:szCs w:val="22"/>
        </w:rPr>
        <w:t>7</w:t>
      </w:r>
    </w:p>
    <w:p w:rsidR="003B5A90" w:rsidRPr="00E51B6B" w:rsidRDefault="003B5A90" w:rsidP="003B5A90">
      <w:pPr>
        <w:pStyle w:val="Geenafstand"/>
        <w:rPr>
          <w:szCs w:val="24"/>
        </w:rPr>
      </w:pPr>
    </w:p>
    <w:tbl>
      <w:tblPr>
        <w:tblW w:w="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1080"/>
        <w:gridCol w:w="1080"/>
        <w:gridCol w:w="1080"/>
      </w:tblGrid>
      <w:tr w:rsidR="003B5A90" w:rsidRPr="00E51B6B" w:rsidTr="003B5A90">
        <w:trPr>
          <w:trHeight w:val="301"/>
        </w:trPr>
        <w:tc>
          <w:tcPr>
            <w:tcW w:w="4608" w:type="dxa"/>
            <w:gridSpan w:val="4"/>
            <w:shd w:val="clear" w:color="auto" w:fill="auto"/>
          </w:tcPr>
          <w:p w:rsidR="003B5A90" w:rsidRPr="00E51B6B" w:rsidRDefault="003B5A90" w:rsidP="003B5A90">
            <w:pPr>
              <w:pStyle w:val="Geenafstand"/>
              <w:rPr>
                <w:b/>
                <w:color w:val="000000"/>
                <w:szCs w:val="24"/>
              </w:rPr>
            </w:pPr>
            <w:r w:rsidRPr="00E51B6B">
              <w:rPr>
                <w:b/>
                <w:color w:val="000000"/>
                <w:szCs w:val="24"/>
              </w:rPr>
              <w:t>Tarief inkomstenbelasting 201</w:t>
            </w:r>
            <w:r>
              <w:rPr>
                <w:b/>
                <w:color w:val="000000"/>
                <w:szCs w:val="24"/>
              </w:rPr>
              <w:t>7</w:t>
            </w:r>
          </w:p>
        </w:tc>
      </w:tr>
      <w:tr w:rsidR="003B5A90" w:rsidRPr="00E51B6B" w:rsidTr="003B5A90">
        <w:trPr>
          <w:trHeight w:val="301"/>
        </w:trPr>
        <w:tc>
          <w:tcPr>
            <w:tcW w:w="1368" w:type="dxa"/>
            <w:shd w:val="clear" w:color="auto" w:fill="auto"/>
          </w:tcPr>
          <w:p w:rsidR="003B5A90" w:rsidRPr="00E51B6B" w:rsidRDefault="003B5A90" w:rsidP="003B5A90">
            <w:pPr>
              <w:pStyle w:val="Geenafstand"/>
              <w:rPr>
                <w:color w:val="000000"/>
                <w:szCs w:val="24"/>
              </w:rPr>
            </w:pPr>
          </w:p>
        </w:tc>
        <w:tc>
          <w:tcPr>
            <w:tcW w:w="1080" w:type="dxa"/>
            <w:shd w:val="clear" w:color="auto" w:fill="auto"/>
          </w:tcPr>
          <w:p w:rsidR="003B5A90" w:rsidRPr="00E51B6B" w:rsidRDefault="003B5A90" w:rsidP="003B5A90">
            <w:pPr>
              <w:pStyle w:val="Geenafstand"/>
              <w:rPr>
                <w:color w:val="000000"/>
                <w:szCs w:val="24"/>
              </w:rPr>
            </w:pPr>
            <w:proofErr w:type="spellStart"/>
            <w:r w:rsidRPr="00E51B6B">
              <w:rPr>
                <w:color w:val="000000"/>
                <w:szCs w:val="24"/>
              </w:rPr>
              <w:t>Bel.ink.meer</w:t>
            </w:r>
            <w:proofErr w:type="spellEnd"/>
            <w:r w:rsidRPr="00E51B6B">
              <w:rPr>
                <w:color w:val="000000"/>
                <w:szCs w:val="24"/>
              </w:rPr>
              <w:t xml:space="preserve"> dan (€)</w:t>
            </w:r>
          </w:p>
        </w:tc>
        <w:tc>
          <w:tcPr>
            <w:tcW w:w="1080" w:type="dxa"/>
            <w:shd w:val="clear" w:color="auto" w:fill="auto"/>
          </w:tcPr>
          <w:p w:rsidR="003B5A90" w:rsidRPr="00E51B6B" w:rsidRDefault="003B5A90" w:rsidP="003B5A90">
            <w:pPr>
              <w:pStyle w:val="Geenafstand"/>
              <w:rPr>
                <w:color w:val="000000"/>
                <w:szCs w:val="24"/>
              </w:rPr>
            </w:pPr>
            <w:proofErr w:type="gramStart"/>
            <w:r w:rsidRPr="00E51B6B">
              <w:rPr>
                <w:color w:val="000000"/>
                <w:szCs w:val="24"/>
              </w:rPr>
              <w:t>maar</w:t>
            </w:r>
            <w:proofErr w:type="gramEnd"/>
            <w:r w:rsidRPr="00E51B6B">
              <w:rPr>
                <w:color w:val="000000"/>
                <w:szCs w:val="24"/>
              </w:rPr>
              <w:t xml:space="preserve"> niet meer dan (€)</w:t>
            </w:r>
          </w:p>
        </w:tc>
        <w:tc>
          <w:tcPr>
            <w:tcW w:w="1080" w:type="dxa"/>
            <w:shd w:val="clear" w:color="auto" w:fill="auto"/>
          </w:tcPr>
          <w:p w:rsidR="003B5A90" w:rsidRPr="00E51B6B" w:rsidRDefault="003B5A90" w:rsidP="003B5A90">
            <w:pPr>
              <w:pStyle w:val="Geenafstand"/>
              <w:rPr>
                <w:color w:val="000000"/>
                <w:szCs w:val="24"/>
              </w:rPr>
            </w:pPr>
            <w:r w:rsidRPr="00E51B6B">
              <w:rPr>
                <w:color w:val="000000"/>
                <w:szCs w:val="24"/>
              </w:rPr>
              <w:t>Tarief 201</w:t>
            </w:r>
            <w:r>
              <w:rPr>
                <w:color w:val="000000"/>
                <w:szCs w:val="24"/>
              </w:rPr>
              <w:t>7</w:t>
            </w:r>
            <w:r w:rsidRPr="00E51B6B">
              <w:rPr>
                <w:color w:val="000000"/>
                <w:szCs w:val="24"/>
              </w:rPr>
              <w:t xml:space="preserve"> (%)</w:t>
            </w:r>
          </w:p>
        </w:tc>
      </w:tr>
      <w:tr w:rsidR="003B5A90" w:rsidRPr="00E51B6B" w:rsidTr="003B5A90">
        <w:trPr>
          <w:trHeight w:val="285"/>
        </w:trPr>
        <w:tc>
          <w:tcPr>
            <w:tcW w:w="1368" w:type="dxa"/>
            <w:shd w:val="clear" w:color="auto" w:fill="auto"/>
          </w:tcPr>
          <w:p w:rsidR="003B5A90" w:rsidRPr="00E51B6B" w:rsidRDefault="003B5A90" w:rsidP="003B5A90">
            <w:pPr>
              <w:pStyle w:val="Geenafstand"/>
              <w:rPr>
                <w:color w:val="000000"/>
                <w:szCs w:val="24"/>
              </w:rPr>
            </w:pPr>
            <w:r w:rsidRPr="00E51B6B">
              <w:rPr>
                <w:color w:val="000000"/>
                <w:szCs w:val="24"/>
              </w:rPr>
              <w:t>1</w:t>
            </w:r>
            <w:r w:rsidRPr="00E51B6B">
              <w:rPr>
                <w:color w:val="000000"/>
                <w:szCs w:val="24"/>
                <w:vertAlign w:val="superscript"/>
              </w:rPr>
              <w:t>e</w:t>
            </w:r>
            <w:r w:rsidRPr="00E51B6B">
              <w:rPr>
                <w:color w:val="000000"/>
                <w:szCs w:val="24"/>
              </w:rPr>
              <w:t xml:space="preserve"> schijf</w:t>
            </w:r>
          </w:p>
        </w:tc>
        <w:tc>
          <w:tcPr>
            <w:tcW w:w="1080" w:type="dxa"/>
            <w:shd w:val="clear" w:color="auto" w:fill="auto"/>
          </w:tcPr>
          <w:p w:rsidR="003B5A90" w:rsidRPr="00E51B6B" w:rsidRDefault="003B5A90" w:rsidP="003B5A90">
            <w:pPr>
              <w:pStyle w:val="Geenafstand"/>
              <w:rPr>
                <w:color w:val="000000"/>
                <w:szCs w:val="24"/>
              </w:rPr>
            </w:pPr>
            <w:r w:rsidRPr="00E51B6B">
              <w:rPr>
                <w:color w:val="000000"/>
                <w:szCs w:val="24"/>
              </w:rPr>
              <w:t>-</w:t>
            </w:r>
          </w:p>
        </w:tc>
        <w:tc>
          <w:tcPr>
            <w:tcW w:w="1080" w:type="dxa"/>
            <w:shd w:val="clear" w:color="auto" w:fill="auto"/>
          </w:tcPr>
          <w:p w:rsidR="003B5A90" w:rsidRPr="00E51B6B" w:rsidRDefault="003B5A90" w:rsidP="003B5A90">
            <w:pPr>
              <w:pStyle w:val="Geenafstand"/>
              <w:rPr>
                <w:color w:val="000000"/>
                <w:szCs w:val="24"/>
              </w:rPr>
            </w:pPr>
            <w:r>
              <w:rPr>
                <w:color w:val="000000"/>
                <w:szCs w:val="24"/>
              </w:rPr>
              <w:t>19.982</w:t>
            </w:r>
          </w:p>
        </w:tc>
        <w:tc>
          <w:tcPr>
            <w:tcW w:w="1080" w:type="dxa"/>
            <w:shd w:val="clear" w:color="auto" w:fill="auto"/>
          </w:tcPr>
          <w:p w:rsidR="003B5A90" w:rsidRPr="00E51B6B" w:rsidRDefault="003B5A90" w:rsidP="003B5A90">
            <w:pPr>
              <w:pStyle w:val="Geenafstand"/>
              <w:rPr>
                <w:color w:val="000000"/>
                <w:szCs w:val="24"/>
              </w:rPr>
            </w:pPr>
            <w:r>
              <w:rPr>
                <w:color w:val="000000"/>
                <w:szCs w:val="24"/>
              </w:rPr>
              <w:t xml:space="preserve">  8,90</w:t>
            </w:r>
          </w:p>
        </w:tc>
      </w:tr>
      <w:tr w:rsidR="003B5A90" w:rsidRPr="00E51B6B" w:rsidTr="003B5A90">
        <w:trPr>
          <w:trHeight w:val="285"/>
        </w:trPr>
        <w:tc>
          <w:tcPr>
            <w:tcW w:w="1368" w:type="dxa"/>
            <w:shd w:val="clear" w:color="auto" w:fill="auto"/>
          </w:tcPr>
          <w:p w:rsidR="003B5A90" w:rsidRPr="00E51B6B" w:rsidRDefault="003B5A90" w:rsidP="003B5A90">
            <w:pPr>
              <w:pStyle w:val="Geenafstand"/>
              <w:rPr>
                <w:color w:val="000000"/>
                <w:szCs w:val="24"/>
              </w:rPr>
            </w:pPr>
            <w:r w:rsidRPr="00E51B6B">
              <w:rPr>
                <w:color w:val="000000"/>
                <w:szCs w:val="24"/>
              </w:rPr>
              <w:t>2</w:t>
            </w:r>
            <w:r w:rsidRPr="00E51B6B">
              <w:rPr>
                <w:color w:val="000000"/>
                <w:szCs w:val="24"/>
                <w:vertAlign w:val="superscript"/>
              </w:rPr>
              <w:t>e</w:t>
            </w:r>
            <w:r w:rsidRPr="00E51B6B">
              <w:rPr>
                <w:color w:val="000000"/>
                <w:szCs w:val="24"/>
              </w:rPr>
              <w:t xml:space="preserve"> schijf</w:t>
            </w:r>
          </w:p>
        </w:tc>
        <w:tc>
          <w:tcPr>
            <w:tcW w:w="1080" w:type="dxa"/>
            <w:shd w:val="clear" w:color="auto" w:fill="auto"/>
          </w:tcPr>
          <w:p w:rsidR="003B5A90" w:rsidRPr="00E51B6B" w:rsidRDefault="003B5A90" w:rsidP="003B5A90">
            <w:pPr>
              <w:pStyle w:val="Geenafstand"/>
              <w:rPr>
                <w:color w:val="000000"/>
                <w:szCs w:val="24"/>
              </w:rPr>
            </w:pPr>
            <w:r>
              <w:rPr>
                <w:color w:val="000000"/>
                <w:szCs w:val="24"/>
              </w:rPr>
              <w:t>19.982</w:t>
            </w:r>
          </w:p>
        </w:tc>
        <w:tc>
          <w:tcPr>
            <w:tcW w:w="1080" w:type="dxa"/>
            <w:shd w:val="clear" w:color="auto" w:fill="auto"/>
          </w:tcPr>
          <w:p w:rsidR="003B5A90" w:rsidRPr="00E51B6B" w:rsidRDefault="003B5A90" w:rsidP="003B5A90">
            <w:pPr>
              <w:pStyle w:val="Geenafstand"/>
              <w:rPr>
                <w:color w:val="000000"/>
                <w:szCs w:val="24"/>
              </w:rPr>
            </w:pPr>
            <w:r w:rsidRPr="00E51B6B">
              <w:rPr>
                <w:color w:val="000000"/>
                <w:szCs w:val="24"/>
              </w:rPr>
              <w:t>33.</w:t>
            </w:r>
            <w:r>
              <w:rPr>
                <w:color w:val="000000"/>
                <w:szCs w:val="24"/>
              </w:rPr>
              <w:t>791</w:t>
            </w:r>
          </w:p>
        </w:tc>
        <w:tc>
          <w:tcPr>
            <w:tcW w:w="1080" w:type="dxa"/>
            <w:shd w:val="clear" w:color="auto" w:fill="auto"/>
          </w:tcPr>
          <w:p w:rsidR="003B5A90" w:rsidRPr="00E51B6B" w:rsidRDefault="003B5A90" w:rsidP="003B5A90">
            <w:pPr>
              <w:pStyle w:val="Geenafstand"/>
              <w:rPr>
                <w:color w:val="000000"/>
                <w:szCs w:val="24"/>
              </w:rPr>
            </w:pPr>
            <w:r>
              <w:rPr>
                <w:color w:val="000000"/>
                <w:szCs w:val="24"/>
              </w:rPr>
              <w:t>13,15</w:t>
            </w:r>
          </w:p>
        </w:tc>
      </w:tr>
      <w:tr w:rsidR="003B5A90" w:rsidRPr="00E51B6B" w:rsidTr="003B5A90">
        <w:trPr>
          <w:trHeight w:val="285"/>
        </w:trPr>
        <w:tc>
          <w:tcPr>
            <w:tcW w:w="1368" w:type="dxa"/>
            <w:shd w:val="clear" w:color="auto" w:fill="auto"/>
          </w:tcPr>
          <w:p w:rsidR="003B5A90" w:rsidRPr="00E51B6B" w:rsidRDefault="003B5A90" w:rsidP="003B5A90">
            <w:pPr>
              <w:pStyle w:val="Geenafstand"/>
              <w:rPr>
                <w:color w:val="000000"/>
                <w:szCs w:val="24"/>
              </w:rPr>
            </w:pPr>
            <w:r w:rsidRPr="00E51B6B">
              <w:rPr>
                <w:color w:val="000000"/>
                <w:szCs w:val="24"/>
              </w:rPr>
              <w:t>3</w:t>
            </w:r>
            <w:r w:rsidRPr="00E51B6B">
              <w:rPr>
                <w:color w:val="000000"/>
                <w:szCs w:val="24"/>
                <w:vertAlign w:val="superscript"/>
              </w:rPr>
              <w:t>e</w:t>
            </w:r>
            <w:r w:rsidRPr="00E51B6B">
              <w:rPr>
                <w:color w:val="000000"/>
                <w:szCs w:val="24"/>
              </w:rPr>
              <w:t xml:space="preserve"> schijf</w:t>
            </w:r>
          </w:p>
        </w:tc>
        <w:tc>
          <w:tcPr>
            <w:tcW w:w="1080" w:type="dxa"/>
            <w:shd w:val="clear" w:color="auto" w:fill="auto"/>
          </w:tcPr>
          <w:p w:rsidR="003B5A90" w:rsidRPr="00E51B6B" w:rsidRDefault="003B5A90" w:rsidP="003B5A90">
            <w:pPr>
              <w:pStyle w:val="Geenafstand"/>
              <w:rPr>
                <w:color w:val="000000"/>
                <w:szCs w:val="24"/>
              </w:rPr>
            </w:pPr>
            <w:r w:rsidRPr="00E51B6B">
              <w:rPr>
                <w:color w:val="000000"/>
                <w:szCs w:val="24"/>
              </w:rPr>
              <w:t>33.</w:t>
            </w:r>
            <w:r>
              <w:rPr>
                <w:color w:val="000000"/>
                <w:szCs w:val="24"/>
              </w:rPr>
              <w:t>791</w:t>
            </w:r>
          </w:p>
        </w:tc>
        <w:tc>
          <w:tcPr>
            <w:tcW w:w="1080" w:type="dxa"/>
            <w:shd w:val="clear" w:color="auto" w:fill="auto"/>
          </w:tcPr>
          <w:p w:rsidR="003B5A90" w:rsidRPr="00E51B6B" w:rsidRDefault="003B5A90" w:rsidP="003B5A90">
            <w:pPr>
              <w:pStyle w:val="Geenafstand"/>
              <w:rPr>
                <w:color w:val="000000"/>
                <w:szCs w:val="24"/>
              </w:rPr>
            </w:pPr>
            <w:r>
              <w:rPr>
                <w:color w:val="000000"/>
                <w:szCs w:val="24"/>
              </w:rPr>
              <w:t>67.072</w:t>
            </w:r>
          </w:p>
        </w:tc>
        <w:tc>
          <w:tcPr>
            <w:tcW w:w="1080" w:type="dxa"/>
            <w:shd w:val="clear" w:color="auto" w:fill="auto"/>
          </w:tcPr>
          <w:p w:rsidR="003B5A90" w:rsidRPr="00E51B6B" w:rsidRDefault="003B5A90" w:rsidP="003B5A90">
            <w:pPr>
              <w:pStyle w:val="Geenafstand"/>
              <w:rPr>
                <w:color w:val="000000"/>
                <w:szCs w:val="24"/>
              </w:rPr>
            </w:pPr>
            <w:r>
              <w:rPr>
                <w:color w:val="000000"/>
                <w:szCs w:val="24"/>
              </w:rPr>
              <w:t>40,80</w:t>
            </w:r>
          </w:p>
        </w:tc>
      </w:tr>
      <w:tr w:rsidR="003B5A90" w:rsidRPr="00E51B6B" w:rsidTr="003B5A90">
        <w:trPr>
          <w:trHeight w:val="285"/>
        </w:trPr>
        <w:tc>
          <w:tcPr>
            <w:tcW w:w="1368" w:type="dxa"/>
            <w:shd w:val="clear" w:color="auto" w:fill="auto"/>
          </w:tcPr>
          <w:p w:rsidR="003B5A90" w:rsidRPr="00E51B6B" w:rsidRDefault="003B5A90" w:rsidP="003B5A90">
            <w:pPr>
              <w:pStyle w:val="Geenafstand"/>
              <w:rPr>
                <w:color w:val="000000"/>
                <w:szCs w:val="24"/>
              </w:rPr>
            </w:pPr>
            <w:r w:rsidRPr="00E51B6B">
              <w:rPr>
                <w:color w:val="000000"/>
                <w:szCs w:val="24"/>
              </w:rPr>
              <w:t>4</w:t>
            </w:r>
            <w:r w:rsidRPr="00E51B6B">
              <w:rPr>
                <w:color w:val="000000"/>
                <w:szCs w:val="24"/>
                <w:vertAlign w:val="superscript"/>
              </w:rPr>
              <w:t>e</w:t>
            </w:r>
            <w:r w:rsidRPr="00E51B6B">
              <w:rPr>
                <w:color w:val="000000"/>
                <w:szCs w:val="24"/>
              </w:rPr>
              <w:t xml:space="preserve"> schijf</w:t>
            </w:r>
          </w:p>
        </w:tc>
        <w:tc>
          <w:tcPr>
            <w:tcW w:w="1080" w:type="dxa"/>
            <w:shd w:val="clear" w:color="auto" w:fill="auto"/>
          </w:tcPr>
          <w:p w:rsidR="003B5A90" w:rsidRPr="00E51B6B" w:rsidRDefault="003B5A90" w:rsidP="003B5A90">
            <w:pPr>
              <w:pStyle w:val="Geenafstand"/>
              <w:rPr>
                <w:color w:val="000000"/>
                <w:szCs w:val="24"/>
              </w:rPr>
            </w:pPr>
            <w:r>
              <w:rPr>
                <w:color w:val="000000"/>
                <w:szCs w:val="24"/>
              </w:rPr>
              <w:t>67</w:t>
            </w:r>
            <w:r w:rsidRPr="00E51B6B">
              <w:rPr>
                <w:color w:val="000000"/>
                <w:szCs w:val="24"/>
              </w:rPr>
              <w:t>.</w:t>
            </w:r>
            <w:r>
              <w:rPr>
                <w:color w:val="000000"/>
                <w:szCs w:val="24"/>
              </w:rPr>
              <w:t>072</w:t>
            </w:r>
          </w:p>
        </w:tc>
        <w:tc>
          <w:tcPr>
            <w:tcW w:w="1080" w:type="dxa"/>
            <w:shd w:val="clear" w:color="auto" w:fill="auto"/>
          </w:tcPr>
          <w:p w:rsidR="003B5A90" w:rsidRPr="00E51B6B" w:rsidRDefault="003B5A90" w:rsidP="003B5A90">
            <w:pPr>
              <w:pStyle w:val="Geenafstand"/>
              <w:rPr>
                <w:color w:val="000000"/>
                <w:szCs w:val="24"/>
              </w:rPr>
            </w:pPr>
            <w:r w:rsidRPr="00E51B6B">
              <w:rPr>
                <w:color w:val="000000"/>
                <w:szCs w:val="24"/>
              </w:rPr>
              <w:t>-</w:t>
            </w:r>
          </w:p>
        </w:tc>
        <w:tc>
          <w:tcPr>
            <w:tcW w:w="1080" w:type="dxa"/>
            <w:shd w:val="clear" w:color="auto" w:fill="auto"/>
          </w:tcPr>
          <w:p w:rsidR="003B5A90" w:rsidRPr="00E51B6B" w:rsidRDefault="003B5A90" w:rsidP="003B5A90">
            <w:pPr>
              <w:pStyle w:val="Geenafstand"/>
              <w:rPr>
                <w:color w:val="000000"/>
                <w:szCs w:val="24"/>
              </w:rPr>
            </w:pPr>
            <w:r w:rsidRPr="00E51B6B">
              <w:rPr>
                <w:color w:val="000000"/>
                <w:szCs w:val="24"/>
              </w:rPr>
              <w:t>52</w:t>
            </w:r>
            <w:r>
              <w:rPr>
                <w:color w:val="000000"/>
                <w:szCs w:val="24"/>
              </w:rPr>
              <w:t>,00</w:t>
            </w:r>
          </w:p>
        </w:tc>
      </w:tr>
    </w:tbl>
    <w:p w:rsidR="003B5A90" w:rsidRDefault="003B5A90" w:rsidP="003B5A90">
      <w:pPr>
        <w:ind w:left="180"/>
        <w:jc w:val="both"/>
        <w:rPr>
          <w:rFonts w:ascii="Garamond" w:hAnsi="Garamond"/>
          <w:sz w:val="22"/>
          <w:szCs w:val="22"/>
        </w:rPr>
      </w:pPr>
      <w:r>
        <w:rPr>
          <w:rFonts w:ascii="Garamond" w:hAnsi="Garamond"/>
          <w:sz w:val="22"/>
          <w:szCs w:val="22"/>
        </w:rPr>
        <w:t>Deze percentages zijn dus exclusief premies volksverzekeringen.</w:t>
      </w:r>
    </w:p>
    <w:p w:rsidR="003B5A90" w:rsidRPr="006A13EA" w:rsidRDefault="003B5A90" w:rsidP="003B5A90">
      <w:pPr>
        <w:ind w:left="180"/>
        <w:jc w:val="both"/>
        <w:rPr>
          <w:rFonts w:ascii="Garamond" w:hAnsi="Garamond"/>
          <w:sz w:val="22"/>
          <w:szCs w:val="22"/>
        </w:rPr>
      </w:pPr>
    </w:p>
    <w:p w:rsidR="003B5A90" w:rsidRPr="006A13EA" w:rsidRDefault="003B5A90" w:rsidP="003B5A90">
      <w:pPr>
        <w:ind w:left="180"/>
        <w:jc w:val="both"/>
        <w:rPr>
          <w:rFonts w:ascii="Syntax-Roman" w:hAnsi="Syntax-Roman"/>
          <w:b/>
          <w:sz w:val="22"/>
          <w:szCs w:val="22"/>
        </w:rPr>
      </w:pPr>
      <w:r>
        <w:rPr>
          <w:rFonts w:ascii="Syntax-Roman" w:hAnsi="Syntax-Roman"/>
          <w:b/>
          <w:sz w:val="22"/>
          <w:szCs w:val="22"/>
        </w:rPr>
        <w:t xml:space="preserve">Verlenging eerste schijf </w:t>
      </w:r>
      <w:proofErr w:type="spellStart"/>
      <w:r>
        <w:rPr>
          <w:rFonts w:ascii="Syntax-Roman" w:hAnsi="Syntax-Roman"/>
          <w:b/>
          <w:sz w:val="22"/>
          <w:szCs w:val="22"/>
        </w:rPr>
        <w:t>Vpb</w:t>
      </w:r>
      <w:proofErr w:type="spellEnd"/>
      <w:r>
        <w:rPr>
          <w:rFonts w:ascii="Syntax-Roman" w:hAnsi="Syntax-Roman"/>
          <w:b/>
          <w:sz w:val="22"/>
          <w:szCs w:val="22"/>
        </w:rPr>
        <w:t xml:space="preserve"> 2018</w:t>
      </w:r>
    </w:p>
    <w:p w:rsidR="003B5A90" w:rsidRDefault="003B5A90" w:rsidP="003B5A90">
      <w:pPr>
        <w:ind w:left="180"/>
        <w:jc w:val="both"/>
        <w:rPr>
          <w:rFonts w:ascii="Garamond" w:hAnsi="Garamond"/>
          <w:sz w:val="22"/>
          <w:szCs w:val="22"/>
        </w:rPr>
      </w:pPr>
      <w:r>
        <w:rPr>
          <w:rFonts w:ascii="Garamond" w:hAnsi="Garamond"/>
          <w:sz w:val="22"/>
          <w:szCs w:val="22"/>
        </w:rPr>
        <w:t xml:space="preserve">Het kabinet wil op 1 januari 2018 de eerste schijf van de vennootschapsbelasting (tarief </w:t>
      </w:r>
      <w:r>
        <w:rPr>
          <w:rFonts w:ascii="Garamond" w:hAnsi="Garamond"/>
          <w:sz w:val="22"/>
          <w:szCs w:val="22"/>
        </w:rPr>
        <w:t>20%; het normale tarief is 25%) verlengen van € 200.000 naar € 250.000. In 2020 wordt de eerste schijf verder verlengd naar € 300.000 en in 2021 naar € 350.000.</w:t>
      </w:r>
    </w:p>
    <w:p w:rsidR="003B5A90" w:rsidRPr="006A13EA" w:rsidRDefault="003B5A90" w:rsidP="003B5A90">
      <w:pPr>
        <w:ind w:left="180"/>
        <w:jc w:val="both"/>
        <w:rPr>
          <w:rFonts w:ascii="Garamond" w:hAnsi="Garamond"/>
          <w:sz w:val="22"/>
          <w:szCs w:val="22"/>
        </w:rPr>
      </w:pPr>
    </w:p>
    <w:p w:rsidR="003B5A90" w:rsidRPr="004B044E" w:rsidRDefault="003B5A90" w:rsidP="003B5A90">
      <w:pPr>
        <w:ind w:left="180"/>
        <w:jc w:val="both"/>
        <w:rPr>
          <w:rFonts w:ascii="Syntax-Roman" w:hAnsi="Syntax-Roman"/>
          <w:b/>
          <w:sz w:val="22"/>
        </w:rPr>
      </w:pPr>
      <w:proofErr w:type="spellStart"/>
      <w:r>
        <w:rPr>
          <w:rFonts w:ascii="Syntax-Roman" w:hAnsi="Syntax-Roman"/>
          <w:b/>
          <w:sz w:val="22"/>
        </w:rPr>
        <w:t>Nexusbenadering</w:t>
      </w:r>
      <w:proofErr w:type="spellEnd"/>
      <w:r>
        <w:rPr>
          <w:rFonts w:ascii="Syntax-Roman" w:hAnsi="Syntax-Roman"/>
          <w:b/>
          <w:sz w:val="22"/>
        </w:rPr>
        <w:t xml:space="preserve"> in </w:t>
      </w:r>
      <w:proofErr w:type="spellStart"/>
      <w:r>
        <w:rPr>
          <w:rFonts w:ascii="Syntax-Roman" w:hAnsi="Syntax-Roman"/>
          <w:b/>
          <w:sz w:val="22"/>
        </w:rPr>
        <w:t>innovatiebox</w:t>
      </w:r>
      <w:proofErr w:type="spellEnd"/>
    </w:p>
    <w:p w:rsidR="003B5A90" w:rsidRDefault="003B5A90" w:rsidP="003B5A90">
      <w:pPr>
        <w:ind w:left="180"/>
        <w:jc w:val="both"/>
        <w:rPr>
          <w:rFonts w:ascii="Garamond" w:hAnsi="Garamond"/>
          <w:sz w:val="22"/>
          <w:szCs w:val="22"/>
        </w:rPr>
      </w:pPr>
      <w:r>
        <w:rPr>
          <w:rFonts w:ascii="Garamond" w:hAnsi="Garamond"/>
          <w:sz w:val="22"/>
          <w:szCs w:val="22"/>
        </w:rPr>
        <w:t xml:space="preserve">De voorwaarden voor het toepassen van de </w:t>
      </w:r>
      <w:proofErr w:type="spellStart"/>
      <w:r>
        <w:rPr>
          <w:rFonts w:ascii="Garamond" w:hAnsi="Garamond"/>
          <w:sz w:val="22"/>
          <w:szCs w:val="22"/>
        </w:rPr>
        <w:t>innovatiebox</w:t>
      </w:r>
      <w:proofErr w:type="spellEnd"/>
      <w:r>
        <w:rPr>
          <w:rFonts w:ascii="Garamond" w:hAnsi="Garamond"/>
          <w:sz w:val="22"/>
          <w:szCs w:val="22"/>
        </w:rPr>
        <w:t xml:space="preserve"> worden verscherpt door de invoering van de zogeheten </w:t>
      </w:r>
      <w:proofErr w:type="spellStart"/>
      <w:r>
        <w:rPr>
          <w:rFonts w:ascii="Garamond" w:hAnsi="Garamond"/>
          <w:sz w:val="22"/>
          <w:szCs w:val="22"/>
        </w:rPr>
        <w:t>nexusbenadering</w:t>
      </w:r>
      <w:proofErr w:type="spellEnd"/>
      <w:r>
        <w:rPr>
          <w:rFonts w:ascii="Garamond" w:hAnsi="Garamond"/>
          <w:sz w:val="22"/>
          <w:szCs w:val="22"/>
        </w:rPr>
        <w:t xml:space="preserve">. </w:t>
      </w:r>
      <w:r w:rsidRPr="00803E4A">
        <w:rPr>
          <w:rFonts w:ascii="Garamond" w:hAnsi="Garamond"/>
          <w:sz w:val="22"/>
          <w:szCs w:val="22"/>
        </w:rPr>
        <w:t xml:space="preserve">De </w:t>
      </w:r>
      <w:proofErr w:type="spellStart"/>
      <w:r w:rsidRPr="00803E4A">
        <w:rPr>
          <w:rFonts w:ascii="Garamond" w:hAnsi="Garamond"/>
          <w:sz w:val="22"/>
          <w:szCs w:val="22"/>
        </w:rPr>
        <w:t>nexusbenadering</w:t>
      </w:r>
      <w:proofErr w:type="spellEnd"/>
      <w:r w:rsidRPr="00803E4A">
        <w:rPr>
          <w:rFonts w:ascii="Garamond" w:hAnsi="Garamond"/>
          <w:sz w:val="22"/>
          <w:szCs w:val="22"/>
        </w:rPr>
        <w:t xml:space="preserve"> houdt </w:t>
      </w:r>
      <w:r>
        <w:rPr>
          <w:rFonts w:ascii="Garamond" w:hAnsi="Garamond"/>
          <w:sz w:val="22"/>
          <w:szCs w:val="22"/>
        </w:rPr>
        <w:t>grofweg</w:t>
      </w:r>
      <w:r w:rsidRPr="00803E4A">
        <w:rPr>
          <w:rFonts w:ascii="Garamond" w:hAnsi="Garamond"/>
          <w:sz w:val="22"/>
          <w:szCs w:val="22"/>
        </w:rPr>
        <w:t xml:space="preserve"> gezegd in dat een deel van de voordelen uit immateriële activa niet in aanmerking komt voor de </w:t>
      </w:r>
      <w:proofErr w:type="spellStart"/>
      <w:r w:rsidRPr="00803E4A">
        <w:rPr>
          <w:rFonts w:ascii="Garamond" w:hAnsi="Garamond"/>
          <w:sz w:val="22"/>
          <w:szCs w:val="22"/>
        </w:rPr>
        <w:t>innovatiebox</w:t>
      </w:r>
      <w:proofErr w:type="spellEnd"/>
      <w:r w:rsidRPr="00803E4A">
        <w:rPr>
          <w:rFonts w:ascii="Garamond" w:hAnsi="Garamond"/>
          <w:sz w:val="22"/>
          <w:szCs w:val="22"/>
        </w:rPr>
        <w:t xml:space="preserve">, </w:t>
      </w:r>
      <w:r>
        <w:rPr>
          <w:rFonts w:ascii="Garamond" w:hAnsi="Garamond"/>
          <w:sz w:val="22"/>
          <w:szCs w:val="22"/>
        </w:rPr>
        <w:t>als</w:t>
      </w:r>
      <w:r w:rsidRPr="00803E4A">
        <w:rPr>
          <w:rFonts w:ascii="Garamond" w:hAnsi="Garamond"/>
          <w:sz w:val="22"/>
          <w:szCs w:val="22"/>
        </w:rPr>
        <w:t xml:space="preserve"> de b</w:t>
      </w:r>
      <w:r>
        <w:rPr>
          <w:rFonts w:ascii="Garamond" w:hAnsi="Garamond"/>
          <w:sz w:val="22"/>
          <w:szCs w:val="22"/>
        </w:rPr>
        <w:t>v</w:t>
      </w:r>
      <w:r w:rsidRPr="00803E4A">
        <w:rPr>
          <w:rFonts w:ascii="Garamond" w:hAnsi="Garamond"/>
          <w:sz w:val="22"/>
          <w:szCs w:val="22"/>
        </w:rPr>
        <w:t xml:space="preserve"> speur- en ontwikkelingswerk uitbesteedt binnen de groep. </w:t>
      </w:r>
      <w:r>
        <w:rPr>
          <w:rFonts w:ascii="Garamond" w:hAnsi="Garamond"/>
          <w:sz w:val="22"/>
          <w:szCs w:val="22"/>
        </w:rPr>
        <w:t xml:space="preserve">De zogeheten kwalificerende voordelen, waarop men de </w:t>
      </w:r>
      <w:proofErr w:type="spellStart"/>
      <w:r>
        <w:rPr>
          <w:rFonts w:ascii="Garamond" w:hAnsi="Garamond"/>
          <w:sz w:val="22"/>
          <w:szCs w:val="22"/>
        </w:rPr>
        <w:t>innovatiebox</w:t>
      </w:r>
      <w:proofErr w:type="spellEnd"/>
      <w:r>
        <w:rPr>
          <w:rFonts w:ascii="Garamond" w:hAnsi="Garamond"/>
          <w:sz w:val="22"/>
          <w:szCs w:val="22"/>
        </w:rPr>
        <w:t xml:space="preserve"> mag toepassen, worden in beginsel berekend door de kwalificerende uitgaven van dat jaar te vermenigvuldigen met 1,3 en vervolgens te delen door de totale uitgaven voor een kwalificerend immaterieel activum. Uitgaven voor uitbestedingen aan verbonden lichamen zijn geen kwalificerende uitgaven. De kwalificerende uitgaven worden hoogstens op het bedrag van de totale uitgaven gesteld. De</w:t>
      </w:r>
      <w:proofErr w:type="gramStart"/>
      <w:r>
        <w:rPr>
          <w:rFonts w:ascii="Garamond" w:hAnsi="Garamond"/>
          <w:sz w:val="22"/>
          <w:szCs w:val="22"/>
        </w:rPr>
        <w:t>ze</w:t>
      </w:r>
      <w:proofErr w:type="gramEnd"/>
      <w:r>
        <w:rPr>
          <w:rFonts w:ascii="Garamond" w:hAnsi="Garamond"/>
          <w:sz w:val="22"/>
          <w:szCs w:val="22"/>
        </w:rPr>
        <w:t xml:space="preserve"> aanscherping zal gelden voor boekjaren die op of na 1 januari 2017 beginnen.</w:t>
      </w:r>
    </w:p>
    <w:p w:rsidR="003B5A90" w:rsidRDefault="003B5A90" w:rsidP="003B5A90">
      <w:pPr>
        <w:ind w:left="180"/>
        <w:jc w:val="both"/>
        <w:rPr>
          <w:rFonts w:ascii="Garamond" w:hAnsi="Garamond"/>
          <w:sz w:val="22"/>
          <w:szCs w:val="22"/>
        </w:rPr>
      </w:pPr>
    </w:p>
    <w:p w:rsidR="003B5A90" w:rsidRPr="004B044E" w:rsidRDefault="003B5A90" w:rsidP="003B5A90">
      <w:pPr>
        <w:ind w:left="180"/>
        <w:jc w:val="both"/>
        <w:rPr>
          <w:rFonts w:ascii="Syntax-Roman" w:hAnsi="Syntax-Roman"/>
          <w:b/>
          <w:sz w:val="22"/>
        </w:rPr>
      </w:pPr>
      <w:r>
        <w:rPr>
          <w:rFonts w:ascii="Syntax-Roman" w:hAnsi="Syntax-Roman"/>
          <w:b/>
          <w:sz w:val="22"/>
        </w:rPr>
        <w:t>Overnamerenteaftrek beperkt</w:t>
      </w:r>
    </w:p>
    <w:p w:rsidR="003B5A90" w:rsidRDefault="003B5A90" w:rsidP="003B5A90">
      <w:pPr>
        <w:ind w:left="180"/>
        <w:jc w:val="both"/>
        <w:rPr>
          <w:rFonts w:ascii="Garamond" w:hAnsi="Garamond"/>
          <w:sz w:val="22"/>
          <w:szCs w:val="22"/>
        </w:rPr>
      </w:pPr>
      <w:r>
        <w:rPr>
          <w:rFonts w:ascii="Garamond" w:hAnsi="Garamond"/>
          <w:sz w:val="22"/>
          <w:szCs w:val="22"/>
        </w:rPr>
        <w:t>De huidige wet kent een aftrekbeperking ten aanzien van de rente over bovenmatige schulden ter financiering van bepaalde overnames van maatschappijen die tot dezelfde fiscale eenheid gaan behoren (voeging). Naarmate dit voegingstijdstip verder weg ligt, wordt een groter deel van de overnameschuld als bovenmatig beschouwd. De renteaftrekbeperking wordt verder aangescherpt om oneigenlijke ontsnappingsmogelijkheden te voorkomen. Zo</w:t>
      </w:r>
      <w:r w:rsidRPr="00F63584">
        <w:rPr>
          <w:rFonts w:ascii="Garamond" w:hAnsi="Garamond"/>
          <w:sz w:val="22"/>
          <w:szCs w:val="22"/>
        </w:rPr>
        <w:t xml:space="preserve"> </w:t>
      </w:r>
      <w:r>
        <w:rPr>
          <w:rFonts w:ascii="Garamond" w:hAnsi="Garamond"/>
          <w:sz w:val="22"/>
          <w:szCs w:val="22"/>
        </w:rPr>
        <w:t xml:space="preserve">wil het kabinet voorkomen dat </w:t>
      </w:r>
      <w:r w:rsidRPr="00F63584">
        <w:rPr>
          <w:rFonts w:ascii="Garamond" w:hAnsi="Garamond"/>
          <w:sz w:val="22"/>
          <w:szCs w:val="22"/>
        </w:rPr>
        <w:t>door de overgenomen vennootschap steeds onder een nieuwe overnameholding te hangen de termijn voor de afbouw van de maximale niet</w:t>
      </w:r>
      <w:r>
        <w:rPr>
          <w:rFonts w:ascii="Garamond" w:hAnsi="Garamond"/>
          <w:sz w:val="22"/>
          <w:szCs w:val="22"/>
        </w:rPr>
        <w:t>-</w:t>
      </w:r>
      <w:r w:rsidRPr="00F63584">
        <w:rPr>
          <w:rFonts w:ascii="Garamond" w:hAnsi="Garamond"/>
          <w:sz w:val="22"/>
          <w:szCs w:val="22"/>
        </w:rPr>
        <w:t xml:space="preserve">bovenmatige financiering telkens opnieuw </w:t>
      </w:r>
      <w:r>
        <w:rPr>
          <w:rFonts w:ascii="Garamond" w:hAnsi="Garamond"/>
          <w:sz w:val="22"/>
          <w:szCs w:val="22"/>
        </w:rPr>
        <w:t xml:space="preserve">begint. Verder stelt het kabinet voor </w:t>
      </w:r>
      <w:r w:rsidRPr="00F63584">
        <w:rPr>
          <w:rFonts w:ascii="Garamond" w:hAnsi="Garamond"/>
          <w:sz w:val="22"/>
          <w:szCs w:val="22"/>
        </w:rPr>
        <w:t>om het eerbiedigende overgangsrecht niet meer van toepassing te laten zijn in de specifieke situatie dat een overnameholding op of na 1 januari 2017 in een nieuwe fiscale eenheid met een andere moeder wordt opgenomen.</w:t>
      </w:r>
    </w:p>
    <w:p w:rsidR="003B5A90" w:rsidRDefault="003B5A90" w:rsidP="003B5A90">
      <w:pPr>
        <w:ind w:left="180"/>
        <w:jc w:val="both"/>
        <w:rPr>
          <w:rFonts w:ascii="Garamond" w:hAnsi="Garamond"/>
          <w:sz w:val="22"/>
          <w:szCs w:val="22"/>
        </w:rPr>
      </w:pPr>
    </w:p>
    <w:p w:rsidR="003B5A90" w:rsidRPr="00E5225D" w:rsidRDefault="003B5A90" w:rsidP="003B5A90">
      <w:pPr>
        <w:ind w:left="180"/>
        <w:jc w:val="both"/>
        <w:rPr>
          <w:rFonts w:ascii="Syntax-Roman" w:hAnsi="Syntax-Roman"/>
          <w:b/>
          <w:sz w:val="22"/>
        </w:rPr>
      </w:pPr>
      <w:r w:rsidRPr="00E5225D">
        <w:rPr>
          <w:rFonts w:ascii="Syntax-Roman" w:hAnsi="Syntax-Roman"/>
          <w:b/>
          <w:sz w:val="22"/>
        </w:rPr>
        <w:lastRenderedPageBreak/>
        <w:t>Berekening toerekenbare winst</w:t>
      </w:r>
    </w:p>
    <w:p w:rsidR="003B5A90" w:rsidRDefault="003B5A90" w:rsidP="003B5A90">
      <w:pPr>
        <w:ind w:left="180"/>
        <w:jc w:val="both"/>
        <w:rPr>
          <w:rFonts w:ascii="Garamond" w:hAnsi="Garamond"/>
          <w:sz w:val="22"/>
          <w:szCs w:val="22"/>
        </w:rPr>
      </w:pPr>
      <w:r>
        <w:rPr>
          <w:rFonts w:ascii="Garamond" w:hAnsi="Garamond"/>
          <w:sz w:val="22"/>
          <w:szCs w:val="22"/>
        </w:rPr>
        <w:t>Renten op overnameschulden zijn slechts aftrekbaar</w:t>
      </w:r>
      <w:r w:rsidRPr="00E5225D">
        <w:rPr>
          <w:rFonts w:ascii="Garamond" w:hAnsi="Garamond"/>
          <w:sz w:val="22"/>
          <w:szCs w:val="22"/>
        </w:rPr>
        <w:t xml:space="preserve"> tot een bedrag </w:t>
      </w:r>
      <w:r>
        <w:rPr>
          <w:rFonts w:ascii="Garamond" w:hAnsi="Garamond"/>
          <w:sz w:val="22"/>
          <w:szCs w:val="22"/>
        </w:rPr>
        <w:t xml:space="preserve">dat </w:t>
      </w:r>
      <w:r w:rsidRPr="00E5225D">
        <w:rPr>
          <w:rFonts w:ascii="Garamond" w:hAnsi="Garamond"/>
          <w:sz w:val="22"/>
          <w:szCs w:val="22"/>
        </w:rPr>
        <w:t xml:space="preserve">gelijk </w:t>
      </w:r>
      <w:r>
        <w:rPr>
          <w:rFonts w:ascii="Garamond" w:hAnsi="Garamond"/>
          <w:sz w:val="22"/>
          <w:szCs w:val="22"/>
        </w:rPr>
        <w:t xml:space="preserve">is </w:t>
      </w:r>
      <w:r w:rsidRPr="00E5225D">
        <w:rPr>
          <w:rFonts w:ascii="Garamond" w:hAnsi="Garamond"/>
          <w:sz w:val="22"/>
          <w:szCs w:val="22"/>
        </w:rPr>
        <w:t>aan de winst van de fiscale eenheid van het jaar</w:t>
      </w:r>
      <w:r>
        <w:rPr>
          <w:rFonts w:ascii="Garamond" w:hAnsi="Garamond"/>
          <w:sz w:val="22"/>
          <w:szCs w:val="22"/>
        </w:rPr>
        <w:t>, in beginsel</w:t>
      </w:r>
      <w:r w:rsidRPr="00E5225D">
        <w:rPr>
          <w:rFonts w:ascii="Garamond" w:hAnsi="Garamond"/>
          <w:sz w:val="22"/>
          <w:szCs w:val="22"/>
        </w:rPr>
        <w:t xml:space="preserve"> berekend zonder toepassing van </w:t>
      </w:r>
      <w:r>
        <w:rPr>
          <w:rFonts w:ascii="Garamond" w:hAnsi="Garamond"/>
          <w:sz w:val="22"/>
          <w:szCs w:val="22"/>
        </w:rPr>
        <w:t>de overnamerenteaftrekbeperking</w:t>
      </w:r>
      <w:r w:rsidRPr="00E5225D">
        <w:rPr>
          <w:rFonts w:ascii="Garamond" w:hAnsi="Garamond"/>
          <w:sz w:val="22"/>
          <w:szCs w:val="22"/>
        </w:rPr>
        <w:t xml:space="preserve">, verminderd met het deel van die winst dat toerekenbaar is aan die andere maatschappijen en vermeerderd met de </w:t>
      </w:r>
      <w:r>
        <w:rPr>
          <w:rFonts w:ascii="Garamond" w:hAnsi="Garamond"/>
          <w:sz w:val="22"/>
          <w:szCs w:val="22"/>
        </w:rPr>
        <w:t>overnamerenten</w:t>
      </w:r>
      <w:r w:rsidRPr="00E5225D">
        <w:rPr>
          <w:rFonts w:ascii="Garamond" w:hAnsi="Garamond"/>
          <w:sz w:val="22"/>
          <w:szCs w:val="22"/>
        </w:rPr>
        <w:t xml:space="preserve">. </w:t>
      </w:r>
      <w:r>
        <w:rPr>
          <w:rFonts w:ascii="Garamond" w:hAnsi="Garamond"/>
          <w:sz w:val="22"/>
          <w:szCs w:val="22"/>
        </w:rPr>
        <w:t>Daarbij zal door het belastingplan 2017</w:t>
      </w:r>
      <w:r w:rsidRPr="00E5225D">
        <w:rPr>
          <w:rFonts w:ascii="Garamond" w:hAnsi="Garamond"/>
          <w:sz w:val="22"/>
          <w:szCs w:val="22"/>
        </w:rPr>
        <w:t xml:space="preserve"> het deel van de winst van de fiscale eenheid dat toerekenbaar is aan de andere maatschappijen</w:t>
      </w:r>
      <w:r>
        <w:rPr>
          <w:rFonts w:ascii="Garamond" w:hAnsi="Garamond"/>
          <w:sz w:val="22"/>
          <w:szCs w:val="22"/>
        </w:rPr>
        <w:t xml:space="preserve"> worden</w:t>
      </w:r>
      <w:r w:rsidRPr="00E5225D">
        <w:rPr>
          <w:rFonts w:ascii="Garamond" w:hAnsi="Garamond"/>
          <w:sz w:val="22"/>
          <w:szCs w:val="22"/>
        </w:rPr>
        <w:t xml:space="preserve"> verhoogd met het bedrag aan renten en kosten ter zake van overnameschulden dat bij het bepalen van dat deel van de winst in aanmerking is genomen</w:t>
      </w:r>
      <w:r>
        <w:rPr>
          <w:rFonts w:ascii="Garamond" w:hAnsi="Garamond"/>
          <w:sz w:val="22"/>
          <w:szCs w:val="22"/>
        </w:rPr>
        <w:t>.</w:t>
      </w:r>
    </w:p>
    <w:p w:rsidR="003B5A90" w:rsidRDefault="003B5A90" w:rsidP="003B5A90">
      <w:pPr>
        <w:ind w:left="180"/>
        <w:jc w:val="both"/>
        <w:rPr>
          <w:rFonts w:ascii="Garamond" w:hAnsi="Garamond"/>
          <w:sz w:val="22"/>
          <w:szCs w:val="22"/>
        </w:rPr>
      </w:pPr>
    </w:p>
    <w:p w:rsidR="003B5A90" w:rsidRPr="008D77B0" w:rsidRDefault="003B5A90" w:rsidP="003B5A90">
      <w:pPr>
        <w:ind w:left="180"/>
        <w:jc w:val="both"/>
        <w:rPr>
          <w:rFonts w:ascii="Syntax-Roman" w:hAnsi="Syntax-Roman"/>
          <w:b/>
          <w:sz w:val="22"/>
        </w:rPr>
      </w:pPr>
      <w:r w:rsidRPr="008D77B0">
        <w:rPr>
          <w:rFonts w:ascii="Syntax-Roman" w:hAnsi="Syntax-Roman"/>
          <w:b/>
          <w:sz w:val="22"/>
        </w:rPr>
        <w:t>Verbondenheid voor antiwinstdrainage</w:t>
      </w:r>
    </w:p>
    <w:p w:rsidR="003B5A90" w:rsidRDefault="003B5A90" w:rsidP="003B5A90">
      <w:pPr>
        <w:ind w:left="180"/>
        <w:jc w:val="both"/>
        <w:rPr>
          <w:rFonts w:ascii="Garamond" w:hAnsi="Garamond"/>
          <w:sz w:val="22"/>
          <w:szCs w:val="22"/>
        </w:rPr>
      </w:pPr>
      <w:r>
        <w:rPr>
          <w:rFonts w:ascii="Garamond" w:hAnsi="Garamond"/>
          <w:sz w:val="22"/>
          <w:szCs w:val="22"/>
        </w:rPr>
        <w:t>Ook de renteaftrekbeperking bij bepaalde zogeheten besmette rechtshandelingen (</w:t>
      </w:r>
      <w:proofErr w:type="spellStart"/>
      <w:r>
        <w:rPr>
          <w:rFonts w:ascii="Garamond" w:hAnsi="Garamond"/>
          <w:sz w:val="22"/>
          <w:szCs w:val="22"/>
        </w:rPr>
        <w:t>antiwinstdrainagemaatregel</w:t>
      </w:r>
      <w:proofErr w:type="spellEnd"/>
      <w:r>
        <w:rPr>
          <w:rFonts w:ascii="Garamond" w:hAnsi="Garamond"/>
          <w:sz w:val="22"/>
          <w:szCs w:val="22"/>
        </w:rPr>
        <w:t xml:space="preserve">) wordt aangepast. Deze maatregel treedt in werking als een verbonden persoon een besmette rechtshandeling verricht. Nu zijn lichamen onder meer verbonden als het ene lichaam een belang van minstens een derde in de ander heeft. Deze verbondenheid wordt uitgebreid: een lichaam is ook met een ander lichaam verbonden als het een belang heeft in dat andere lichaam </w:t>
      </w:r>
      <w:r w:rsidRPr="00012AB1">
        <w:rPr>
          <w:rFonts w:ascii="Garamond" w:hAnsi="Garamond"/>
          <w:sz w:val="22"/>
          <w:szCs w:val="22"/>
        </w:rPr>
        <w:t>en samen met een of meer andere lichamen</w:t>
      </w:r>
      <w:r>
        <w:rPr>
          <w:rFonts w:ascii="Garamond" w:hAnsi="Garamond"/>
          <w:sz w:val="22"/>
          <w:szCs w:val="22"/>
        </w:rPr>
        <w:t>,</w:t>
      </w:r>
      <w:r w:rsidRPr="00012AB1">
        <w:rPr>
          <w:rFonts w:ascii="Garamond" w:hAnsi="Garamond"/>
          <w:sz w:val="22"/>
          <w:szCs w:val="22"/>
        </w:rPr>
        <w:t xml:space="preserve"> die met </w:t>
      </w:r>
      <w:r>
        <w:rPr>
          <w:rFonts w:ascii="Garamond" w:hAnsi="Garamond"/>
          <w:sz w:val="22"/>
          <w:szCs w:val="22"/>
        </w:rPr>
        <w:t>dat</w:t>
      </w:r>
      <w:r w:rsidRPr="00012AB1">
        <w:rPr>
          <w:rFonts w:ascii="Garamond" w:hAnsi="Garamond"/>
          <w:sz w:val="22"/>
          <w:szCs w:val="22"/>
        </w:rPr>
        <w:t xml:space="preserve"> lichaam een samenwerkende groep vormen</w:t>
      </w:r>
      <w:r>
        <w:rPr>
          <w:rFonts w:ascii="Garamond" w:hAnsi="Garamond"/>
          <w:sz w:val="22"/>
          <w:szCs w:val="22"/>
        </w:rPr>
        <w:t>,</w:t>
      </w:r>
      <w:r w:rsidRPr="00012AB1">
        <w:rPr>
          <w:rFonts w:ascii="Garamond" w:hAnsi="Garamond"/>
          <w:sz w:val="22"/>
          <w:szCs w:val="22"/>
        </w:rPr>
        <w:t xml:space="preserve"> voor </w:t>
      </w:r>
      <w:r>
        <w:rPr>
          <w:rFonts w:ascii="Garamond" w:hAnsi="Garamond"/>
          <w:sz w:val="22"/>
          <w:szCs w:val="22"/>
        </w:rPr>
        <w:t>minimaal</w:t>
      </w:r>
      <w:r w:rsidRPr="00012AB1">
        <w:rPr>
          <w:rFonts w:ascii="Garamond" w:hAnsi="Garamond"/>
          <w:sz w:val="22"/>
          <w:szCs w:val="22"/>
        </w:rPr>
        <w:t xml:space="preserve"> een derde gedeelte belang heeft in </w:t>
      </w:r>
      <w:r>
        <w:rPr>
          <w:rFonts w:ascii="Garamond" w:hAnsi="Garamond"/>
          <w:sz w:val="22"/>
          <w:szCs w:val="22"/>
        </w:rPr>
        <w:t>het andere lichaam</w:t>
      </w:r>
      <w:r w:rsidRPr="00012AB1">
        <w:rPr>
          <w:rFonts w:ascii="Garamond" w:hAnsi="Garamond"/>
          <w:sz w:val="22"/>
          <w:szCs w:val="22"/>
        </w:rPr>
        <w:t>.</w:t>
      </w:r>
    </w:p>
    <w:p w:rsidR="003B5A90" w:rsidRDefault="003B5A90" w:rsidP="003B5A90">
      <w:pPr>
        <w:ind w:left="180"/>
        <w:jc w:val="both"/>
        <w:rPr>
          <w:rFonts w:ascii="Garamond" w:hAnsi="Garamond"/>
          <w:sz w:val="22"/>
          <w:szCs w:val="22"/>
        </w:rPr>
      </w:pPr>
    </w:p>
    <w:p w:rsidR="003B5A90" w:rsidRPr="006A13EA" w:rsidRDefault="003B5A90" w:rsidP="003B5A90">
      <w:pPr>
        <w:ind w:left="180"/>
        <w:jc w:val="both"/>
        <w:rPr>
          <w:rFonts w:ascii="Syntax-Roman" w:hAnsi="Syntax-Roman"/>
          <w:b/>
          <w:sz w:val="22"/>
          <w:szCs w:val="22"/>
        </w:rPr>
      </w:pPr>
      <w:r>
        <w:rPr>
          <w:rFonts w:ascii="Syntax-Roman" w:hAnsi="Syntax-Roman"/>
          <w:b/>
          <w:sz w:val="22"/>
          <w:szCs w:val="22"/>
        </w:rPr>
        <w:t>Beschikking bedrijfsfusie</w:t>
      </w:r>
    </w:p>
    <w:p w:rsidR="003B5A90" w:rsidRDefault="003B5A90" w:rsidP="003B5A90">
      <w:pPr>
        <w:ind w:left="180"/>
        <w:jc w:val="both"/>
        <w:rPr>
          <w:rFonts w:ascii="Garamond" w:hAnsi="Garamond"/>
          <w:sz w:val="22"/>
          <w:szCs w:val="22"/>
        </w:rPr>
      </w:pPr>
      <w:r>
        <w:rPr>
          <w:rFonts w:ascii="Garamond" w:hAnsi="Garamond"/>
          <w:sz w:val="22"/>
          <w:szCs w:val="22"/>
        </w:rPr>
        <w:t>Door een wetswijziging</w:t>
      </w:r>
      <w:r w:rsidRPr="00FC4D3E">
        <w:rPr>
          <w:rFonts w:ascii="Garamond" w:hAnsi="Garamond"/>
          <w:sz w:val="22"/>
          <w:szCs w:val="22"/>
        </w:rPr>
        <w:t xml:space="preserve"> </w:t>
      </w:r>
      <w:r>
        <w:rPr>
          <w:rFonts w:ascii="Garamond" w:hAnsi="Garamond"/>
          <w:sz w:val="22"/>
          <w:szCs w:val="22"/>
        </w:rPr>
        <w:t>zal de faciliteit</w:t>
      </w:r>
      <w:r w:rsidRPr="00FC4D3E">
        <w:rPr>
          <w:rFonts w:ascii="Garamond" w:hAnsi="Garamond"/>
          <w:sz w:val="22"/>
          <w:szCs w:val="22"/>
        </w:rPr>
        <w:t xml:space="preserve"> van de bedrijfsfusie </w:t>
      </w:r>
      <w:r>
        <w:rPr>
          <w:rFonts w:ascii="Garamond" w:hAnsi="Garamond"/>
          <w:sz w:val="22"/>
          <w:szCs w:val="22"/>
        </w:rPr>
        <w:t>ook zijn toe te passen</w:t>
      </w:r>
      <w:r w:rsidRPr="00FC4D3E">
        <w:rPr>
          <w:rFonts w:ascii="Garamond" w:hAnsi="Garamond"/>
          <w:sz w:val="22"/>
          <w:szCs w:val="22"/>
        </w:rPr>
        <w:t xml:space="preserve"> door middel van een door de inspecteur afgegeven beschikking</w:t>
      </w:r>
      <w:r>
        <w:rPr>
          <w:rFonts w:ascii="Garamond" w:hAnsi="Garamond"/>
          <w:sz w:val="22"/>
          <w:szCs w:val="22"/>
        </w:rPr>
        <w:t xml:space="preserve"> als een bv,</w:t>
      </w:r>
      <w:r w:rsidRPr="00FC4D3E">
        <w:rPr>
          <w:rFonts w:ascii="Garamond" w:hAnsi="Garamond"/>
          <w:sz w:val="22"/>
          <w:szCs w:val="22"/>
        </w:rPr>
        <w:t xml:space="preserve"> die in het kader van een bedrijfsfusie zijn gehele onderneming of een zelfstandig deel van een onderneming overdraagt</w:t>
      </w:r>
      <w:r>
        <w:rPr>
          <w:rFonts w:ascii="Garamond" w:hAnsi="Garamond"/>
          <w:sz w:val="22"/>
          <w:szCs w:val="22"/>
        </w:rPr>
        <w:t>,</w:t>
      </w:r>
      <w:r w:rsidRPr="00FC4D3E">
        <w:rPr>
          <w:rFonts w:ascii="Garamond" w:hAnsi="Garamond"/>
          <w:sz w:val="22"/>
          <w:szCs w:val="22"/>
        </w:rPr>
        <w:t xml:space="preserve"> de </w:t>
      </w:r>
      <w:proofErr w:type="spellStart"/>
      <w:r w:rsidRPr="00FC4D3E">
        <w:rPr>
          <w:rFonts w:ascii="Garamond" w:hAnsi="Garamond"/>
          <w:sz w:val="22"/>
          <w:szCs w:val="22"/>
        </w:rPr>
        <w:t>innovatiebox</w:t>
      </w:r>
      <w:proofErr w:type="spellEnd"/>
      <w:r w:rsidRPr="00FC4D3E">
        <w:rPr>
          <w:rFonts w:ascii="Garamond" w:hAnsi="Garamond"/>
          <w:sz w:val="22"/>
          <w:szCs w:val="22"/>
        </w:rPr>
        <w:t xml:space="preserve"> toepast. In de bij die beschikking gestelde voorwaarden voor de fiscale begeleiding van de bedrijfsfusie wordt de samenloop met de </w:t>
      </w:r>
      <w:proofErr w:type="spellStart"/>
      <w:r w:rsidRPr="00FC4D3E">
        <w:rPr>
          <w:rFonts w:ascii="Garamond" w:hAnsi="Garamond"/>
          <w:sz w:val="22"/>
          <w:szCs w:val="22"/>
        </w:rPr>
        <w:t>innovatiebox</w:t>
      </w:r>
      <w:proofErr w:type="spellEnd"/>
      <w:r w:rsidRPr="00FC4D3E">
        <w:rPr>
          <w:rFonts w:ascii="Garamond" w:hAnsi="Garamond"/>
          <w:sz w:val="22"/>
          <w:szCs w:val="22"/>
        </w:rPr>
        <w:t xml:space="preserve"> zodanig geregeld dat bij overdracht van een activum waarop de </w:t>
      </w:r>
      <w:proofErr w:type="spellStart"/>
      <w:r w:rsidRPr="00FC4D3E">
        <w:rPr>
          <w:rFonts w:ascii="Garamond" w:hAnsi="Garamond"/>
          <w:sz w:val="22"/>
          <w:szCs w:val="22"/>
        </w:rPr>
        <w:t>innovatiebox</w:t>
      </w:r>
      <w:proofErr w:type="spellEnd"/>
      <w:r w:rsidRPr="00FC4D3E">
        <w:rPr>
          <w:rFonts w:ascii="Garamond" w:hAnsi="Garamond"/>
          <w:sz w:val="22"/>
          <w:szCs w:val="22"/>
        </w:rPr>
        <w:t xml:space="preserve"> is toegepast, de overnemer die toepassing van de </w:t>
      </w:r>
      <w:proofErr w:type="spellStart"/>
      <w:r w:rsidRPr="00FC4D3E">
        <w:rPr>
          <w:rFonts w:ascii="Garamond" w:hAnsi="Garamond"/>
          <w:sz w:val="22"/>
          <w:szCs w:val="22"/>
        </w:rPr>
        <w:t>innovatiebox</w:t>
      </w:r>
      <w:proofErr w:type="spellEnd"/>
      <w:r w:rsidRPr="00FC4D3E">
        <w:rPr>
          <w:rFonts w:ascii="Garamond" w:hAnsi="Garamond"/>
          <w:sz w:val="22"/>
          <w:szCs w:val="22"/>
        </w:rPr>
        <w:t xml:space="preserve"> ongewijzigd </w:t>
      </w:r>
      <w:r>
        <w:rPr>
          <w:rFonts w:ascii="Garamond" w:hAnsi="Garamond"/>
          <w:sz w:val="22"/>
          <w:szCs w:val="22"/>
        </w:rPr>
        <w:t>overneemt</w:t>
      </w:r>
      <w:r w:rsidRPr="00FC4D3E">
        <w:rPr>
          <w:rFonts w:ascii="Garamond" w:hAnsi="Garamond"/>
          <w:sz w:val="22"/>
          <w:szCs w:val="22"/>
        </w:rPr>
        <w:t>.</w:t>
      </w:r>
    </w:p>
    <w:p w:rsidR="003B5A90" w:rsidRDefault="003B5A90" w:rsidP="003B5A90">
      <w:pPr>
        <w:ind w:left="180"/>
        <w:jc w:val="both"/>
        <w:rPr>
          <w:rFonts w:ascii="Garamond" w:hAnsi="Garamond"/>
          <w:sz w:val="22"/>
          <w:szCs w:val="22"/>
        </w:rPr>
      </w:pPr>
    </w:p>
    <w:p w:rsidR="00A60BF9" w:rsidRDefault="00A60BF9" w:rsidP="003B5A90">
      <w:pPr>
        <w:ind w:left="180"/>
        <w:jc w:val="both"/>
        <w:rPr>
          <w:rFonts w:ascii="Syntax-Roman" w:hAnsi="Syntax-Roman"/>
          <w:b/>
          <w:sz w:val="22"/>
          <w:szCs w:val="22"/>
        </w:rPr>
      </w:pPr>
    </w:p>
    <w:p w:rsidR="003B5A90" w:rsidRPr="006A13EA" w:rsidRDefault="003B5A90" w:rsidP="003B5A90">
      <w:pPr>
        <w:ind w:left="180"/>
        <w:jc w:val="both"/>
        <w:rPr>
          <w:rFonts w:ascii="Syntax-Roman" w:hAnsi="Syntax-Roman"/>
          <w:b/>
          <w:sz w:val="22"/>
          <w:szCs w:val="22"/>
        </w:rPr>
      </w:pPr>
      <w:r>
        <w:rPr>
          <w:rFonts w:ascii="Syntax-Roman" w:hAnsi="Syntax-Roman"/>
          <w:b/>
          <w:sz w:val="22"/>
          <w:szCs w:val="22"/>
        </w:rPr>
        <w:t>Beschikking afsplitsing</w:t>
      </w:r>
    </w:p>
    <w:p w:rsidR="003B5A90" w:rsidRDefault="003B5A90" w:rsidP="003B5A90">
      <w:pPr>
        <w:ind w:left="180"/>
        <w:jc w:val="both"/>
        <w:rPr>
          <w:rFonts w:ascii="Garamond" w:hAnsi="Garamond"/>
          <w:sz w:val="22"/>
          <w:szCs w:val="22"/>
        </w:rPr>
      </w:pPr>
      <w:r>
        <w:rPr>
          <w:rFonts w:ascii="Garamond" w:hAnsi="Garamond"/>
          <w:sz w:val="22"/>
          <w:szCs w:val="22"/>
        </w:rPr>
        <w:t>Door een wetswijziging</w:t>
      </w:r>
      <w:r w:rsidRPr="00FC4D3E">
        <w:rPr>
          <w:rFonts w:ascii="Garamond" w:hAnsi="Garamond"/>
          <w:sz w:val="22"/>
          <w:szCs w:val="22"/>
        </w:rPr>
        <w:t xml:space="preserve"> </w:t>
      </w:r>
      <w:r>
        <w:rPr>
          <w:rFonts w:ascii="Garamond" w:hAnsi="Garamond"/>
          <w:sz w:val="22"/>
          <w:szCs w:val="22"/>
        </w:rPr>
        <w:t>zal de faciliteit</w:t>
      </w:r>
      <w:r w:rsidRPr="00FC4D3E">
        <w:rPr>
          <w:rFonts w:ascii="Garamond" w:hAnsi="Garamond"/>
          <w:sz w:val="22"/>
          <w:szCs w:val="22"/>
        </w:rPr>
        <w:t xml:space="preserve"> van de </w:t>
      </w:r>
      <w:r>
        <w:rPr>
          <w:rFonts w:ascii="Garamond" w:hAnsi="Garamond"/>
          <w:sz w:val="22"/>
          <w:szCs w:val="22"/>
        </w:rPr>
        <w:t>juridische (af)splitsing eveneens zijn toe te passen</w:t>
      </w:r>
      <w:r w:rsidRPr="00FC4D3E">
        <w:rPr>
          <w:rFonts w:ascii="Garamond" w:hAnsi="Garamond"/>
          <w:sz w:val="22"/>
          <w:szCs w:val="22"/>
        </w:rPr>
        <w:t xml:space="preserve"> </w:t>
      </w:r>
      <w:r>
        <w:rPr>
          <w:rFonts w:ascii="Garamond" w:hAnsi="Garamond"/>
          <w:sz w:val="22"/>
          <w:szCs w:val="22"/>
        </w:rPr>
        <w:t>met behulp</w:t>
      </w:r>
      <w:r w:rsidRPr="00FC4D3E">
        <w:rPr>
          <w:rFonts w:ascii="Garamond" w:hAnsi="Garamond"/>
          <w:sz w:val="22"/>
          <w:szCs w:val="22"/>
        </w:rPr>
        <w:t xml:space="preserve"> van een door de inspecteur afgegeven beschikking</w:t>
      </w:r>
      <w:r>
        <w:rPr>
          <w:rFonts w:ascii="Garamond" w:hAnsi="Garamond"/>
          <w:sz w:val="22"/>
          <w:szCs w:val="22"/>
        </w:rPr>
        <w:t xml:space="preserve"> als een bv,</w:t>
      </w:r>
      <w:r w:rsidRPr="00FC4D3E">
        <w:rPr>
          <w:rFonts w:ascii="Garamond" w:hAnsi="Garamond"/>
          <w:sz w:val="22"/>
          <w:szCs w:val="22"/>
        </w:rPr>
        <w:t xml:space="preserve"> </w:t>
      </w:r>
      <w:r>
        <w:rPr>
          <w:rFonts w:ascii="Garamond" w:hAnsi="Garamond"/>
          <w:sz w:val="22"/>
          <w:szCs w:val="22"/>
        </w:rPr>
        <w:t>die na een splitsing blijft bestaan,</w:t>
      </w:r>
      <w:r w:rsidRPr="00FC4D3E">
        <w:rPr>
          <w:rFonts w:ascii="Garamond" w:hAnsi="Garamond"/>
          <w:sz w:val="22"/>
          <w:szCs w:val="22"/>
        </w:rPr>
        <w:t xml:space="preserve"> de </w:t>
      </w:r>
      <w:proofErr w:type="spellStart"/>
      <w:r w:rsidRPr="00FC4D3E">
        <w:rPr>
          <w:rFonts w:ascii="Garamond" w:hAnsi="Garamond"/>
          <w:sz w:val="22"/>
          <w:szCs w:val="22"/>
        </w:rPr>
        <w:t>innovatiebox</w:t>
      </w:r>
      <w:proofErr w:type="spellEnd"/>
      <w:r w:rsidRPr="00FC4D3E">
        <w:rPr>
          <w:rFonts w:ascii="Garamond" w:hAnsi="Garamond"/>
          <w:sz w:val="22"/>
          <w:szCs w:val="22"/>
        </w:rPr>
        <w:t xml:space="preserve"> toepast.</w:t>
      </w:r>
      <w:r>
        <w:rPr>
          <w:rFonts w:ascii="Garamond" w:hAnsi="Garamond"/>
          <w:sz w:val="22"/>
          <w:szCs w:val="22"/>
        </w:rPr>
        <w:t xml:space="preserve"> In deze beschikking kan de inspecteur nadere voorwaarden stellen.</w:t>
      </w:r>
    </w:p>
    <w:p w:rsidR="003B5A90" w:rsidRDefault="003B5A90" w:rsidP="003B5A90">
      <w:pPr>
        <w:ind w:left="180"/>
        <w:jc w:val="both"/>
        <w:rPr>
          <w:rFonts w:ascii="Garamond" w:hAnsi="Garamond"/>
          <w:sz w:val="22"/>
          <w:szCs w:val="22"/>
        </w:rPr>
      </w:pPr>
    </w:p>
    <w:p w:rsidR="003B5A90" w:rsidRPr="006A13EA" w:rsidRDefault="003B5A90" w:rsidP="003B5A90">
      <w:pPr>
        <w:ind w:left="180"/>
        <w:jc w:val="both"/>
        <w:rPr>
          <w:rFonts w:ascii="Syntax-Roman" w:hAnsi="Syntax-Roman"/>
          <w:b/>
          <w:sz w:val="22"/>
          <w:szCs w:val="22"/>
        </w:rPr>
      </w:pPr>
      <w:r>
        <w:rPr>
          <w:rFonts w:ascii="Syntax-Roman" w:hAnsi="Syntax-Roman"/>
          <w:b/>
          <w:sz w:val="22"/>
          <w:szCs w:val="22"/>
        </w:rPr>
        <w:t xml:space="preserve">Gebruikelijk loon innovatieve </w:t>
      </w:r>
      <w:proofErr w:type="spellStart"/>
      <w:r>
        <w:rPr>
          <w:rFonts w:ascii="Syntax-Roman" w:hAnsi="Syntax-Roman"/>
          <w:b/>
          <w:sz w:val="22"/>
          <w:szCs w:val="22"/>
        </w:rPr>
        <w:t>dga</w:t>
      </w:r>
      <w:proofErr w:type="spellEnd"/>
    </w:p>
    <w:p w:rsidR="003B5A90" w:rsidRDefault="003B5A90" w:rsidP="003B5A90">
      <w:pPr>
        <w:ind w:left="180"/>
        <w:jc w:val="both"/>
        <w:rPr>
          <w:rFonts w:ascii="Garamond" w:hAnsi="Garamond"/>
          <w:sz w:val="22"/>
          <w:szCs w:val="22"/>
        </w:rPr>
      </w:pPr>
      <w:r>
        <w:rPr>
          <w:rFonts w:ascii="Garamond" w:hAnsi="Garamond"/>
          <w:sz w:val="22"/>
          <w:szCs w:val="22"/>
        </w:rPr>
        <w:t xml:space="preserve">In het </w:t>
      </w:r>
      <w:r w:rsidRPr="00D425BF">
        <w:rPr>
          <w:rFonts w:ascii="Garamond" w:hAnsi="Garamond"/>
          <w:sz w:val="22"/>
          <w:szCs w:val="22"/>
        </w:rPr>
        <w:t>B</w:t>
      </w:r>
      <w:r>
        <w:rPr>
          <w:rFonts w:ascii="Garamond" w:hAnsi="Garamond"/>
          <w:sz w:val="22"/>
          <w:szCs w:val="22"/>
        </w:rPr>
        <w:t>elastingplan 2017 wordt voorgesteld om</w:t>
      </w:r>
      <w:r w:rsidRPr="00D425BF">
        <w:rPr>
          <w:rFonts w:ascii="Garamond" w:hAnsi="Garamond"/>
          <w:sz w:val="22"/>
          <w:szCs w:val="22"/>
        </w:rPr>
        <w:t xml:space="preserve"> vanaf 2017 het belastbare loon van directeuren-grootaandeelhouders (</w:t>
      </w:r>
      <w:proofErr w:type="spellStart"/>
      <w:r w:rsidRPr="00D425BF">
        <w:rPr>
          <w:rFonts w:ascii="Garamond" w:hAnsi="Garamond"/>
          <w:sz w:val="22"/>
          <w:szCs w:val="22"/>
        </w:rPr>
        <w:t>dga’s</w:t>
      </w:r>
      <w:proofErr w:type="spellEnd"/>
      <w:r w:rsidRPr="00D425BF">
        <w:rPr>
          <w:rFonts w:ascii="Garamond" w:hAnsi="Garamond"/>
          <w:sz w:val="22"/>
          <w:szCs w:val="22"/>
        </w:rPr>
        <w:t xml:space="preserve">) van innovatieve </w:t>
      </w:r>
      <w:proofErr w:type="spellStart"/>
      <w:proofErr w:type="gramStart"/>
      <w:r w:rsidRPr="00D425BF">
        <w:rPr>
          <w:rFonts w:ascii="Garamond" w:hAnsi="Garamond"/>
          <w:sz w:val="22"/>
          <w:szCs w:val="22"/>
        </w:rPr>
        <w:t>start</w:t>
      </w:r>
      <w:r>
        <w:rPr>
          <w:rFonts w:ascii="Garamond" w:hAnsi="Garamond"/>
          <w:sz w:val="22"/>
          <w:szCs w:val="22"/>
        </w:rPr>
        <w:t>-</w:t>
      </w:r>
      <w:r w:rsidRPr="00D425BF">
        <w:rPr>
          <w:rFonts w:ascii="Garamond" w:hAnsi="Garamond"/>
          <w:sz w:val="22"/>
          <w:szCs w:val="22"/>
        </w:rPr>
        <w:t>ups</w:t>
      </w:r>
      <w:proofErr w:type="spellEnd"/>
      <w:proofErr w:type="gramEnd"/>
      <w:r w:rsidRPr="00D425BF">
        <w:rPr>
          <w:rFonts w:ascii="Garamond" w:hAnsi="Garamond"/>
          <w:sz w:val="22"/>
          <w:szCs w:val="22"/>
        </w:rPr>
        <w:t xml:space="preserve"> voor de toepassing van de </w:t>
      </w:r>
      <w:proofErr w:type="spellStart"/>
      <w:r w:rsidRPr="00D425BF">
        <w:rPr>
          <w:rFonts w:ascii="Garamond" w:hAnsi="Garamond"/>
          <w:sz w:val="22"/>
          <w:szCs w:val="22"/>
        </w:rPr>
        <w:t>gebruikelijkloonregeling</w:t>
      </w:r>
      <w:proofErr w:type="spellEnd"/>
      <w:r w:rsidRPr="00D425BF">
        <w:rPr>
          <w:rFonts w:ascii="Garamond" w:hAnsi="Garamond"/>
          <w:sz w:val="22"/>
          <w:szCs w:val="22"/>
        </w:rPr>
        <w:t xml:space="preserve"> </w:t>
      </w:r>
      <w:r>
        <w:rPr>
          <w:rFonts w:ascii="Garamond" w:hAnsi="Garamond"/>
          <w:sz w:val="22"/>
          <w:szCs w:val="22"/>
        </w:rPr>
        <w:t>vast te stellen</w:t>
      </w:r>
      <w:r w:rsidRPr="00D425BF">
        <w:rPr>
          <w:rFonts w:ascii="Garamond" w:hAnsi="Garamond"/>
          <w:sz w:val="22"/>
          <w:szCs w:val="22"/>
        </w:rPr>
        <w:t xml:space="preserve"> op het wettelijke minimumloon. </w:t>
      </w:r>
      <w:r>
        <w:rPr>
          <w:rFonts w:ascii="Garamond" w:hAnsi="Garamond"/>
          <w:sz w:val="22"/>
          <w:szCs w:val="22"/>
        </w:rPr>
        <w:t>Het zal hier gaan om</w:t>
      </w:r>
      <w:r w:rsidRPr="00D425BF">
        <w:rPr>
          <w:rFonts w:ascii="Garamond" w:hAnsi="Garamond"/>
          <w:sz w:val="22"/>
          <w:szCs w:val="22"/>
        </w:rPr>
        <w:t xml:space="preserve"> </w:t>
      </w:r>
      <w:proofErr w:type="spellStart"/>
      <w:r w:rsidRPr="00D425BF">
        <w:rPr>
          <w:rFonts w:ascii="Garamond" w:hAnsi="Garamond"/>
          <w:sz w:val="22"/>
          <w:szCs w:val="22"/>
        </w:rPr>
        <w:t>dga’s</w:t>
      </w:r>
      <w:proofErr w:type="spellEnd"/>
      <w:r w:rsidRPr="00D425BF">
        <w:rPr>
          <w:rFonts w:ascii="Garamond" w:hAnsi="Garamond"/>
          <w:sz w:val="22"/>
          <w:szCs w:val="22"/>
        </w:rPr>
        <w:t xml:space="preserve"> van bedrijven die speur- en</w:t>
      </w:r>
      <w:r>
        <w:rPr>
          <w:rFonts w:ascii="Garamond" w:hAnsi="Garamond"/>
          <w:sz w:val="22"/>
          <w:szCs w:val="22"/>
        </w:rPr>
        <w:t xml:space="preserve"> </w:t>
      </w:r>
      <w:r w:rsidRPr="00A873F8">
        <w:rPr>
          <w:rFonts w:ascii="Garamond" w:hAnsi="Garamond"/>
          <w:sz w:val="22"/>
          <w:szCs w:val="22"/>
        </w:rPr>
        <w:t>ontwikkelingswerk verrichten en voor de toepassing van de S&amp;O-afdrachtvermindering worden aangemerkt als starter.</w:t>
      </w:r>
    </w:p>
    <w:p w:rsidR="003B5A90" w:rsidRDefault="003B5A90" w:rsidP="003B5A90">
      <w:pPr>
        <w:ind w:left="180"/>
        <w:jc w:val="both"/>
        <w:rPr>
          <w:rFonts w:ascii="Garamond" w:hAnsi="Garamond"/>
          <w:sz w:val="22"/>
          <w:szCs w:val="22"/>
        </w:rPr>
      </w:pPr>
    </w:p>
    <w:p w:rsidR="003B5A90" w:rsidRPr="00D86570" w:rsidRDefault="003B5A90" w:rsidP="003B5A90">
      <w:pPr>
        <w:ind w:left="180"/>
        <w:jc w:val="both"/>
        <w:rPr>
          <w:rFonts w:ascii="Syntax-Roman" w:hAnsi="Syntax-Roman"/>
          <w:b/>
          <w:sz w:val="22"/>
          <w:szCs w:val="22"/>
        </w:rPr>
      </w:pPr>
      <w:r w:rsidRPr="00D86570">
        <w:rPr>
          <w:rFonts w:ascii="Syntax-Roman" w:hAnsi="Syntax-Roman"/>
          <w:b/>
          <w:sz w:val="22"/>
          <w:szCs w:val="22"/>
        </w:rPr>
        <w:t>Quasi-</w:t>
      </w:r>
      <w:proofErr w:type="spellStart"/>
      <w:r w:rsidRPr="00D86570">
        <w:rPr>
          <w:rFonts w:ascii="Syntax-Roman" w:hAnsi="Syntax-Roman"/>
          <w:b/>
          <w:sz w:val="22"/>
          <w:szCs w:val="22"/>
        </w:rPr>
        <w:t>inbestedingsvrijstelling</w:t>
      </w:r>
      <w:proofErr w:type="spellEnd"/>
    </w:p>
    <w:p w:rsidR="003B5A90" w:rsidRDefault="003B5A90" w:rsidP="003B5A90">
      <w:pPr>
        <w:ind w:left="180"/>
        <w:jc w:val="both"/>
        <w:rPr>
          <w:rFonts w:ascii="Garamond" w:hAnsi="Garamond"/>
          <w:sz w:val="22"/>
          <w:szCs w:val="22"/>
        </w:rPr>
      </w:pPr>
      <w:r w:rsidRPr="00D86570">
        <w:rPr>
          <w:rFonts w:ascii="Garamond" w:hAnsi="Garamond"/>
          <w:sz w:val="22"/>
          <w:szCs w:val="22"/>
        </w:rPr>
        <w:t xml:space="preserve">Op </w:t>
      </w:r>
      <w:r>
        <w:rPr>
          <w:rFonts w:ascii="Garamond" w:hAnsi="Garamond"/>
          <w:sz w:val="22"/>
          <w:szCs w:val="22"/>
        </w:rPr>
        <w:t>grond</w:t>
      </w:r>
      <w:r w:rsidRPr="00D86570">
        <w:rPr>
          <w:rFonts w:ascii="Garamond" w:hAnsi="Garamond"/>
          <w:sz w:val="22"/>
          <w:szCs w:val="22"/>
        </w:rPr>
        <w:t xml:space="preserve"> van de quasi-</w:t>
      </w:r>
      <w:proofErr w:type="spellStart"/>
      <w:r w:rsidRPr="00D86570">
        <w:rPr>
          <w:rFonts w:ascii="Garamond" w:hAnsi="Garamond"/>
          <w:sz w:val="22"/>
          <w:szCs w:val="22"/>
        </w:rPr>
        <w:t>inbestedingsvrijstelling</w:t>
      </w:r>
      <w:proofErr w:type="spellEnd"/>
      <w:r w:rsidRPr="00D86570">
        <w:rPr>
          <w:rFonts w:ascii="Garamond" w:hAnsi="Garamond"/>
          <w:sz w:val="22"/>
          <w:szCs w:val="22"/>
        </w:rPr>
        <w:t xml:space="preserve"> worden bij privaatrechtelijke overheidslichamen voordelen vrijgesteld </w:t>
      </w:r>
      <w:r>
        <w:rPr>
          <w:rFonts w:ascii="Garamond" w:hAnsi="Garamond"/>
          <w:sz w:val="22"/>
          <w:szCs w:val="22"/>
        </w:rPr>
        <w:t>als zij</w:t>
      </w:r>
      <w:r w:rsidRPr="00D86570">
        <w:rPr>
          <w:rFonts w:ascii="Garamond" w:hAnsi="Garamond"/>
          <w:sz w:val="22"/>
          <w:szCs w:val="22"/>
        </w:rPr>
        <w:t xml:space="preserve"> opkomen uit activiteiten </w:t>
      </w:r>
      <w:r>
        <w:rPr>
          <w:rFonts w:ascii="Garamond" w:hAnsi="Garamond"/>
          <w:sz w:val="22"/>
          <w:szCs w:val="22"/>
        </w:rPr>
        <w:t xml:space="preserve">die zijn </w:t>
      </w:r>
      <w:r w:rsidRPr="00D86570">
        <w:rPr>
          <w:rFonts w:ascii="Garamond" w:hAnsi="Garamond"/>
          <w:sz w:val="22"/>
          <w:szCs w:val="22"/>
        </w:rPr>
        <w:t xml:space="preserve">verricht voor </w:t>
      </w:r>
      <w:r>
        <w:rPr>
          <w:rFonts w:ascii="Garamond" w:hAnsi="Garamond"/>
          <w:sz w:val="22"/>
          <w:szCs w:val="22"/>
        </w:rPr>
        <w:t xml:space="preserve">bepaalde rechtspersonen. Het betreft </w:t>
      </w:r>
      <w:r w:rsidRPr="00D86570">
        <w:rPr>
          <w:rFonts w:ascii="Garamond" w:hAnsi="Garamond"/>
          <w:sz w:val="22"/>
          <w:szCs w:val="22"/>
        </w:rPr>
        <w:t xml:space="preserve">de publiekrechtelijke rechtspersoon </w:t>
      </w:r>
      <w:r>
        <w:rPr>
          <w:rFonts w:ascii="Garamond" w:hAnsi="Garamond"/>
          <w:sz w:val="22"/>
          <w:szCs w:val="22"/>
        </w:rPr>
        <w:t>tot wie</w:t>
      </w:r>
      <w:r w:rsidRPr="00D86570">
        <w:rPr>
          <w:rFonts w:ascii="Garamond" w:hAnsi="Garamond"/>
          <w:sz w:val="22"/>
          <w:szCs w:val="22"/>
        </w:rPr>
        <w:t xml:space="preserve"> dat privaatrechtelijke overheidslichaam volledig behoort en andere privaatrechtelijke overheidslichamen die volledig in handen zijn van die publiekrechtelijke rechtspersoon</w:t>
      </w:r>
      <w:r>
        <w:rPr>
          <w:rFonts w:ascii="Garamond" w:hAnsi="Garamond"/>
          <w:sz w:val="22"/>
          <w:szCs w:val="22"/>
        </w:rPr>
        <w:t xml:space="preserve">. Deze vrijstelling wordt zo aangepast dat zij niet langer van toepassing is op het </w:t>
      </w:r>
      <w:r w:rsidRPr="00D86570">
        <w:rPr>
          <w:rFonts w:ascii="Garamond" w:hAnsi="Garamond"/>
          <w:sz w:val="22"/>
          <w:szCs w:val="22"/>
        </w:rPr>
        <w:t>ter beschikking stellen van vermogensbestanddelen die bij de afnemer worden aangewend ten behoeve van niet-vrijgestelde activiteiten.</w:t>
      </w:r>
      <w:r>
        <w:rPr>
          <w:rFonts w:ascii="Garamond" w:hAnsi="Garamond"/>
          <w:sz w:val="22"/>
          <w:szCs w:val="22"/>
        </w:rPr>
        <w:t xml:space="preserve"> Hiervan kan ook sprake zijn bij interne diensten.</w:t>
      </w:r>
    </w:p>
    <w:p w:rsidR="003B5A90" w:rsidRDefault="003B5A90" w:rsidP="003B5A90">
      <w:pPr>
        <w:ind w:left="180"/>
        <w:jc w:val="both"/>
        <w:rPr>
          <w:rFonts w:ascii="Garamond" w:hAnsi="Garamond"/>
          <w:sz w:val="22"/>
          <w:szCs w:val="22"/>
        </w:rPr>
      </w:pPr>
    </w:p>
    <w:p w:rsidR="003B5A90" w:rsidRDefault="003B5A90" w:rsidP="003B5A90">
      <w:pPr>
        <w:ind w:left="180"/>
        <w:jc w:val="both"/>
        <w:rPr>
          <w:rFonts w:ascii="Syntax-Roman" w:hAnsi="Syntax-Roman"/>
          <w:b/>
          <w:sz w:val="22"/>
          <w:szCs w:val="22"/>
        </w:rPr>
      </w:pPr>
      <w:r w:rsidRPr="000D66FB">
        <w:rPr>
          <w:rFonts w:ascii="Syntax-Roman" w:hAnsi="Syntax-Roman"/>
          <w:b/>
          <w:sz w:val="22"/>
          <w:szCs w:val="22"/>
        </w:rPr>
        <w:t>Nieuwe inhoudingsvrijstelling</w:t>
      </w:r>
    </w:p>
    <w:p w:rsidR="003B5A90" w:rsidRDefault="003B5A90" w:rsidP="003B5A90">
      <w:pPr>
        <w:ind w:left="180"/>
        <w:jc w:val="both"/>
        <w:rPr>
          <w:rFonts w:ascii="Garamond" w:hAnsi="Garamond"/>
          <w:sz w:val="22"/>
          <w:szCs w:val="22"/>
        </w:rPr>
      </w:pPr>
      <w:r>
        <w:rPr>
          <w:rFonts w:ascii="Garamond" w:hAnsi="Garamond"/>
          <w:sz w:val="22"/>
          <w:szCs w:val="22"/>
        </w:rPr>
        <w:t>On</w:t>
      </w:r>
      <w:r w:rsidRPr="00220FC1">
        <w:rPr>
          <w:rFonts w:ascii="Garamond" w:hAnsi="Garamond"/>
          <w:sz w:val="22"/>
          <w:szCs w:val="22"/>
        </w:rPr>
        <w:t xml:space="preserve">der voorwaarden </w:t>
      </w:r>
      <w:r>
        <w:rPr>
          <w:rFonts w:ascii="Garamond" w:hAnsi="Garamond"/>
          <w:sz w:val="22"/>
          <w:szCs w:val="22"/>
        </w:rPr>
        <w:t>zal een</w:t>
      </w:r>
      <w:r w:rsidRPr="00220FC1">
        <w:rPr>
          <w:rFonts w:ascii="Garamond" w:hAnsi="Garamond"/>
          <w:sz w:val="22"/>
          <w:szCs w:val="22"/>
        </w:rPr>
        <w:t xml:space="preserve"> inhoudingsvrijstelling </w:t>
      </w:r>
      <w:r>
        <w:rPr>
          <w:rFonts w:ascii="Garamond" w:hAnsi="Garamond"/>
          <w:sz w:val="22"/>
          <w:szCs w:val="22"/>
        </w:rPr>
        <w:t xml:space="preserve">gaan gelden </w:t>
      </w:r>
      <w:r w:rsidRPr="00220FC1">
        <w:rPr>
          <w:rFonts w:ascii="Garamond" w:hAnsi="Garamond"/>
          <w:sz w:val="22"/>
          <w:szCs w:val="22"/>
        </w:rPr>
        <w:t xml:space="preserve">voor de dividendbelasting </w:t>
      </w:r>
      <w:r>
        <w:rPr>
          <w:rFonts w:ascii="Garamond" w:hAnsi="Garamond"/>
          <w:sz w:val="22"/>
          <w:szCs w:val="22"/>
        </w:rPr>
        <w:t>met betrekking tot</w:t>
      </w:r>
      <w:r w:rsidRPr="00220FC1">
        <w:rPr>
          <w:rFonts w:ascii="Garamond" w:hAnsi="Garamond"/>
          <w:sz w:val="22"/>
          <w:szCs w:val="22"/>
        </w:rPr>
        <w:t xml:space="preserve"> opbrengsten die worden ontvangen door</w:t>
      </w:r>
      <w:r>
        <w:rPr>
          <w:rFonts w:ascii="Garamond" w:hAnsi="Garamond"/>
          <w:sz w:val="22"/>
          <w:szCs w:val="22"/>
        </w:rPr>
        <w:t xml:space="preserve"> l</w:t>
      </w:r>
      <w:r w:rsidRPr="00220FC1">
        <w:rPr>
          <w:rFonts w:ascii="Garamond" w:hAnsi="Garamond"/>
          <w:sz w:val="22"/>
          <w:szCs w:val="22"/>
        </w:rPr>
        <w:t xml:space="preserve">ichamen die (deels) niet zijn onderworpen aan de vennootschapsbelasting </w:t>
      </w:r>
      <w:r>
        <w:rPr>
          <w:rFonts w:ascii="Garamond" w:hAnsi="Garamond"/>
          <w:sz w:val="22"/>
          <w:szCs w:val="22"/>
        </w:rPr>
        <w:t>en</w:t>
      </w:r>
      <w:r w:rsidRPr="00220FC1">
        <w:rPr>
          <w:rFonts w:ascii="Garamond" w:hAnsi="Garamond"/>
          <w:sz w:val="22"/>
          <w:szCs w:val="22"/>
        </w:rPr>
        <w:t xml:space="preserve"> daarmee vergelijkbare buitenlandse lichamen.</w:t>
      </w:r>
    </w:p>
    <w:p w:rsidR="003B5A90" w:rsidRDefault="003B5A90" w:rsidP="003B5A90">
      <w:pPr>
        <w:ind w:left="180"/>
        <w:jc w:val="both"/>
        <w:rPr>
          <w:rFonts w:ascii="Garamond" w:hAnsi="Garamond"/>
          <w:sz w:val="22"/>
          <w:szCs w:val="22"/>
        </w:rPr>
      </w:pPr>
    </w:p>
    <w:p w:rsidR="003B5A90" w:rsidRPr="003B5A90" w:rsidRDefault="003B5A90" w:rsidP="003B5A90">
      <w:pPr>
        <w:ind w:left="180"/>
        <w:jc w:val="both"/>
        <w:rPr>
          <w:rFonts w:ascii="Syntax-Roman" w:hAnsi="Syntax-Roman"/>
          <w:b/>
          <w:sz w:val="22"/>
          <w:szCs w:val="22"/>
        </w:rPr>
      </w:pPr>
      <w:r w:rsidRPr="003B5A90">
        <w:rPr>
          <w:rFonts w:ascii="Syntax-Roman" w:hAnsi="Syntax-Roman"/>
          <w:b/>
          <w:sz w:val="22"/>
          <w:szCs w:val="22"/>
        </w:rPr>
        <w:t>Let op!</w:t>
      </w:r>
    </w:p>
    <w:p w:rsidR="003B5A90" w:rsidRDefault="003B5A90" w:rsidP="003B5A90">
      <w:pPr>
        <w:ind w:left="180"/>
        <w:jc w:val="both"/>
        <w:rPr>
          <w:rFonts w:ascii="Garamond" w:hAnsi="Garamond"/>
          <w:sz w:val="22"/>
          <w:szCs w:val="22"/>
        </w:rPr>
      </w:pPr>
      <w:r w:rsidRPr="003B5A90">
        <w:rPr>
          <w:rFonts w:ascii="Syntax-Roman" w:hAnsi="Syntax-Roman"/>
          <w:b/>
          <w:sz w:val="22"/>
          <w:szCs w:val="22"/>
        </w:rPr>
        <w:lastRenderedPageBreak/>
        <w:t>Deze nieuwe inhoudingsvrijstelling geldt onder meer niet als een vrijgestelde beleggingsinstelling de opbrengstgerechtigde is.</w:t>
      </w:r>
    </w:p>
    <w:p w:rsidR="003B5A90" w:rsidRDefault="003B5A90" w:rsidP="003B5A90">
      <w:pPr>
        <w:ind w:left="180"/>
        <w:jc w:val="both"/>
        <w:rPr>
          <w:rFonts w:ascii="Garamond" w:hAnsi="Garamond"/>
          <w:sz w:val="22"/>
          <w:szCs w:val="22"/>
        </w:rPr>
      </w:pPr>
    </w:p>
    <w:p w:rsidR="003B5A90" w:rsidRPr="00057986" w:rsidRDefault="003B5A90" w:rsidP="003B5A90">
      <w:pPr>
        <w:ind w:left="180"/>
        <w:jc w:val="both"/>
        <w:rPr>
          <w:rFonts w:ascii="Syntax-Roman" w:hAnsi="Syntax-Roman"/>
          <w:b/>
          <w:sz w:val="22"/>
          <w:szCs w:val="22"/>
        </w:rPr>
      </w:pPr>
      <w:r w:rsidRPr="00057986">
        <w:rPr>
          <w:rFonts w:ascii="Syntax-Roman" w:hAnsi="Syntax-Roman"/>
          <w:b/>
          <w:sz w:val="22"/>
          <w:szCs w:val="22"/>
        </w:rPr>
        <w:t>Meer tijd voor opteren belastingplicht</w:t>
      </w:r>
    </w:p>
    <w:p w:rsidR="004B044E" w:rsidRDefault="003B5A90" w:rsidP="003B5A90">
      <w:pPr>
        <w:ind w:left="180"/>
        <w:jc w:val="both"/>
        <w:rPr>
          <w:rFonts w:ascii="Garamond" w:hAnsi="Garamond"/>
          <w:sz w:val="22"/>
          <w:szCs w:val="22"/>
        </w:rPr>
      </w:pPr>
      <w:r>
        <w:rPr>
          <w:rFonts w:ascii="Garamond" w:hAnsi="Garamond"/>
          <w:sz w:val="22"/>
          <w:szCs w:val="22"/>
        </w:rPr>
        <w:t>S</w:t>
      </w:r>
      <w:r w:rsidRPr="00057986">
        <w:rPr>
          <w:rFonts w:ascii="Garamond" w:hAnsi="Garamond"/>
          <w:sz w:val="22"/>
          <w:szCs w:val="22"/>
        </w:rPr>
        <w:t>tichtingen en verenigingen met beperkt winstgevende ondernemingsactiviteiten</w:t>
      </w:r>
      <w:r>
        <w:rPr>
          <w:rFonts w:ascii="Garamond" w:hAnsi="Garamond"/>
          <w:sz w:val="22"/>
          <w:szCs w:val="22"/>
        </w:rPr>
        <w:t xml:space="preserve"> zijn in beginsel vrijgesteld van vennootschapsbelasting</w:t>
      </w:r>
      <w:r w:rsidRPr="00057986">
        <w:rPr>
          <w:rFonts w:ascii="Garamond" w:hAnsi="Garamond"/>
          <w:sz w:val="22"/>
          <w:szCs w:val="22"/>
        </w:rPr>
        <w:t xml:space="preserve">. Omdat </w:t>
      </w:r>
      <w:r>
        <w:rPr>
          <w:rFonts w:ascii="Garamond" w:hAnsi="Garamond"/>
          <w:sz w:val="22"/>
          <w:szCs w:val="22"/>
        </w:rPr>
        <w:t>het soms voor hen</w:t>
      </w:r>
      <w:r w:rsidRPr="00057986">
        <w:rPr>
          <w:rFonts w:ascii="Garamond" w:hAnsi="Garamond"/>
          <w:sz w:val="22"/>
          <w:szCs w:val="22"/>
        </w:rPr>
        <w:t xml:space="preserve"> voordeliger kan zijn om toch belastingplichtig te zijn, </w:t>
      </w:r>
      <w:r>
        <w:rPr>
          <w:rFonts w:ascii="Garamond" w:hAnsi="Garamond"/>
          <w:sz w:val="22"/>
          <w:szCs w:val="22"/>
        </w:rPr>
        <w:t>kunnen zij</w:t>
      </w:r>
      <w:r w:rsidRPr="00057986">
        <w:rPr>
          <w:rFonts w:ascii="Garamond" w:hAnsi="Garamond"/>
          <w:sz w:val="22"/>
          <w:szCs w:val="22"/>
        </w:rPr>
        <w:t xml:space="preserve"> opteren voor belastingplicht. </w:t>
      </w:r>
      <w:r>
        <w:rPr>
          <w:rFonts w:ascii="Garamond" w:hAnsi="Garamond"/>
          <w:sz w:val="22"/>
          <w:szCs w:val="22"/>
        </w:rPr>
        <w:t>Nu moeten zij daartoe een verzoek indienen</w:t>
      </w:r>
      <w:r w:rsidRPr="00057986">
        <w:rPr>
          <w:rFonts w:ascii="Garamond" w:hAnsi="Garamond"/>
          <w:sz w:val="22"/>
          <w:szCs w:val="22"/>
        </w:rPr>
        <w:t xml:space="preserve"> binnen zes maanden na het einde van het betreffende jaar. </w:t>
      </w:r>
      <w:r>
        <w:rPr>
          <w:rFonts w:ascii="Garamond" w:hAnsi="Garamond"/>
          <w:sz w:val="22"/>
          <w:szCs w:val="22"/>
        </w:rPr>
        <w:t>Deze termijn wordt aangepast:</w:t>
      </w:r>
      <w:r w:rsidRPr="00057986">
        <w:rPr>
          <w:rFonts w:ascii="Garamond" w:hAnsi="Garamond"/>
          <w:sz w:val="22"/>
          <w:szCs w:val="22"/>
        </w:rPr>
        <w:t xml:space="preserve"> </w:t>
      </w:r>
      <w:r>
        <w:rPr>
          <w:rFonts w:ascii="Garamond" w:hAnsi="Garamond"/>
          <w:sz w:val="22"/>
          <w:szCs w:val="22"/>
        </w:rPr>
        <w:t xml:space="preserve">men zal </w:t>
      </w:r>
      <w:r w:rsidRPr="00057986">
        <w:rPr>
          <w:rFonts w:ascii="Garamond" w:hAnsi="Garamond"/>
          <w:sz w:val="22"/>
          <w:szCs w:val="22"/>
        </w:rPr>
        <w:t xml:space="preserve">het verzoek uiterlijk gelijktijdig met het indienen van de aangifte </w:t>
      </w:r>
      <w:r>
        <w:rPr>
          <w:rFonts w:ascii="Garamond" w:hAnsi="Garamond"/>
          <w:sz w:val="22"/>
          <w:szCs w:val="22"/>
        </w:rPr>
        <w:t>moeten doen</w:t>
      </w:r>
      <w:r w:rsidRPr="00057986">
        <w:rPr>
          <w:rFonts w:ascii="Garamond" w:hAnsi="Garamond"/>
          <w:sz w:val="22"/>
          <w:szCs w:val="22"/>
        </w:rPr>
        <w:t>.</w:t>
      </w:r>
    </w:p>
    <w:p w:rsidR="00ED1401" w:rsidRDefault="00ED1401" w:rsidP="003B5A90">
      <w:pPr>
        <w:ind w:left="180"/>
        <w:jc w:val="both"/>
        <w:rPr>
          <w:rFonts w:ascii="Garamond" w:hAnsi="Garamond"/>
          <w:sz w:val="22"/>
          <w:szCs w:val="22"/>
        </w:rPr>
      </w:pPr>
    </w:p>
    <w:p w:rsidR="003B5A90" w:rsidRDefault="003B5A90" w:rsidP="003B5A90">
      <w:pPr>
        <w:ind w:left="180"/>
        <w:jc w:val="both"/>
        <w:rPr>
          <w:rFonts w:ascii="Garamond" w:hAnsi="Garamond"/>
          <w:sz w:val="22"/>
          <w:szCs w:val="22"/>
        </w:rPr>
      </w:pPr>
    </w:p>
    <w:p w:rsidR="005A6635" w:rsidRPr="00BE1939" w:rsidRDefault="005A6635" w:rsidP="005A6635">
      <w:pPr>
        <w:ind w:left="180"/>
        <w:jc w:val="both"/>
        <w:rPr>
          <w:rFonts w:ascii="Syntax-Roman" w:hAnsi="Syntax-Roman"/>
          <w:b/>
          <w:sz w:val="22"/>
          <w:szCs w:val="22"/>
        </w:rPr>
      </w:pPr>
      <w:r w:rsidRPr="00BE1939">
        <w:rPr>
          <w:rFonts w:ascii="Syntax-Roman" w:hAnsi="Syntax-Roman"/>
          <w:b/>
          <w:sz w:val="22"/>
          <w:szCs w:val="22"/>
        </w:rPr>
        <w:t>MAATREGELEN WERKGEVER</w:t>
      </w:r>
    </w:p>
    <w:p w:rsidR="005A6635" w:rsidRDefault="005A6635" w:rsidP="005A6635">
      <w:pPr>
        <w:ind w:left="180"/>
        <w:jc w:val="both"/>
        <w:rPr>
          <w:rFonts w:ascii="Garamond" w:hAnsi="Garamond"/>
          <w:sz w:val="22"/>
          <w:szCs w:val="22"/>
        </w:rPr>
      </w:pPr>
    </w:p>
    <w:p w:rsidR="00ED1401" w:rsidRPr="00C601FC" w:rsidRDefault="00ED1401" w:rsidP="00ED1401">
      <w:pPr>
        <w:ind w:left="180"/>
        <w:jc w:val="both"/>
        <w:rPr>
          <w:rFonts w:ascii="Syntax-Roman" w:hAnsi="Syntax-Roman"/>
          <w:b/>
          <w:sz w:val="22"/>
        </w:rPr>
      </w:pPr>
      <w:r w:rsidRPr="00C601FC">
        <w:rPr>
          <w:rFonts w:ascii="Syntax-Roman" w:hAnsi="Syntax-Roman"/>
          <w:b/>
          <w:sz w:val="22"/>
        </w:rPr>
        <w:t>Aanpassing regeling S&amp;O-verklaring</w:t>
      </w:r>
    </w:p>
    <w:p w:rsidR="00ED1401" w:rsidRPr="00ED1401" w:rsidRDefault="00ED1401" w:rsidP="00ED1401">
      <w:pPr>
        <w:ind w:left="180"/>
        <w:jc w:val="both"/>
        <w:rPr>
          <w:rFonts w:ascii="Garamond" w:hAnsi="Garamond"/>
          <w:sz w:val="22"/>
          <w:szCs w:val="22"/>
        </w:rPr>
      </w:pPr>
      <w:r>
        <w:rPr>
          <w:rFonts w:ascii="Garamond" w:hAnsi="Garamond"/>
          <w:sz w:val="22"/>
          <w:szCs w:val="22"/>
        </w:rPr>
        <w:t xml:space="preserve">Er worden twee vereenvoudigingen doorgevoerd voor de S&amp;O-regeling. Om te beginnen wordt voor de bepaling van het gemiddelde uurloon voor de S&amp;O-regeling het eindheffingsloon uitgesloten. Dat is nu al de praktijk omdat dat wordt bepaald aan de hand van loongegevens uit de </w:t>
      </w:r>
      <w:proofErr w:type="spellStart"/>
      <w:r>
        <w:rPr>
          <w:rFonts w:ascii="Garamond" w:hAnsi="Garamond"/>
          <w:sz w:val="22"/>
          <w:szCs w:val="22"/>
        </w:rPr>
        <w:t>polisadministratie</w:t>
      </w:r>
      <w:proofErr w:type="spellEnd"/>
      <w:r>
        <w:rPr>
          <w:rFonts w:ascii="Garamond" w:hAnsi="Garamond"/>
          <w:sz w:val="22"/>
          <w:szCs w:val="22"/>
        </w:rPr>
        <w:t xml:space="preserve"> van het UWV, waarin het eindheffingsloon niet is opgenomen. Ten tweede wordt de boete die kan worden opgelegd als niet tijdig mededeling is gedaan van de werkelijk bestede S&amp;O uren, kosten en uitgaven, gemaximeerd op € 2.500, voor die gevallen waarin slechts sprake is van een administratieve fout. Dan geldt ook een lichtere procedure. Alleen bij grove nalatigheid of fraude blijven de huidige boeteregeling en hogere maximumboete gelden. </w:t>
      </w:r>
    </w:p>
    <w:p w:rsidR="00ED1401" w:rsidRDefault="00ED1401" w:rsidP="00ED1401">
      <w:pPr>
        <w:ind w:left="180"/>
        <w:jc w:val="both"/>
        <w:rPr>
          <w:rFonts w:ascii="Garamond" w:hAnsi="Garamond"/>
          <w:sz w:val="22"/>
          <w:szCs w:val="22"/>
        </w:rPr>
      </w:pPr>
    </w:p>
    <w:p w:rsidR="00ED1401" w:rsidRPr="004B044E" w:rsidRDefault="00ED1401" w:rsidP="00ED1401">
      <w:pPr>
        <w:ind w:left="180"/>
        <w:jc w:val="both"/>
        <w:rPr>
          <w:rFonts w:ascii="Syntax-Roman" w:hAnsi="Syntax-Roman"/>
          <w:b/>
          <w:sz w:val="22"/>
        </w:rPr>
      </w:pPr>
      <w:r>
        <w:rPr>
          <w:rFonts w:ascii="Syntax-Roman" w:hAnsi="Syntax-Roman"/>
          <w:b/>
          <w:sz w:val="22"/>
        </w:rPr>
        <w:t>Afschaffing fictieve dienstbetrekking commissarissen</w:t>
      </w:r>
    </w:p>
    <w:p w:rsidR="00ED1401" w:rsidRDefault="00ED1401" w:rsidP="00ED1401">
      <w:pPr>
        <w:ind w:left="180"/>
        <w:jc w:val="both"/>
        <w:rPr>
          <w:rFonts w:ascii="Garamond" w:hAnsi="Garamond"/>
          <w:sz w:val="22"/>
          <w:szCs w:val="22"/>
        </w:rPr>
      </w:pPr>
      <w:r>
        <w:rPr>
          <w:rFonts w:ascii="Garamond" w:hAnsi="Garamond"/>
          <w:sz w:val="22"/>
          <w:szCs w:val="22"/>
        </w:rPr>
        <w:t xml:space="preserve">De afschaffing van de fictieve dienstebetrekking voor commissaris wordt per 1 januari 2017 in de wet opgenomen. </w:t>
      </w:r>
    </w:p>
    <w:p w:rsidR="00ED1401" w:rsidRDefault="00ED1401" w:rsidP="00ED1401">
      <w:pPr>
        <w:ind w:left="180"/>
        <w:jc w:val="both"/>
        <w:rPr>
          <w:rFonts w:ascii="Garamond" w:hAnsi="Garamond"/>
          <w:sz w:val="22"/>
          <w:szCs w:val="22"/>
        </w:rPr>
      </w:pPr>
    </w:p>
    <w:p w:rsidR="00ED1401" w:rsidRPr="00ED1401" w:rsidRDefault="00ED1401" w:rsidP="00ED1401">
      <w:pPr>
        <w:ind w:left="180"/>
        <w:jc w:val="both"/>
        <w:rPr>
          <w:rFonts w:ascii="Syntax-Roman" w:hAnsi="Syntax-Roman"/>
          <w:b/>
          <w:sz w:val="22"/>
        </w:rPr>
      </w:pPr>
      <w:r w:rsidRPr="00C601FC">
        <w:rPr>
          <w:rFonts w:ascii="Syntax-Roman" w:hAnsi="Syntax-Roman"/>
          <w:b/>
          <w:sz w:val="22"/>
        </w:rPr>
        <w:t xml:space="preserve">Voor commissarissen die geen ondernemer zijn, blijft het desgewenst mogelijk, om onder de loonbelasting te vallen. Zij kunnen samen met de inhoudingsplichtige gebruikmaken van de </w:t>
      </w:r>
      <w:proofErr w:type="spellStart"/>
      <w:r w:rsidRPr="00C601FC">
        <w:rPr>
          <w:rFonts w:ascii="Syntax-Roman" w:hAnsi="Syntax-Roman"/>
          <w:b/>
          <w:sz w:val="22"/>
        </w:rPr>
        <w:t>opting</w:t>
      </w:r>
      <w:proofErr w:type="spellEnd"/>
      <w:r w:rsidRPr="00C601FC">
        <w:rPr>
          <w:rFonts w:ascii="Syntax-Roman" w:hAnsi="Syntax-Roman"/>
          <w:b/>
          <w:sz w:val="22"/>
        </w:rPr>
        <w:t xml:space="preserve">-in regeling. </w:t>
      </w:r>
    </w:p>
    <w:p w:rsidR="00ED1401" w:rsidRDefault="00ED1401" w:rsidP="00ED1401">
      <w:pPr>
        <w:ind w:left="180"/>
        <w:jc w:val="both"/>
        <w:rPr>
          <w:rFonts w:ascii="Garamond" w:hAnsi="Garamond"/>
          <w:sz w:val="22"/>
          <w:szCs w:val="22"/>
        </w:rPr>
      </w:pPr>
    </w:p>
    <w:p w:rsidR="00ED1401" w:rsidRPr="00C601FC" w:rsidRDefault="00ED1401" w:rsidP="00ED1401">
      <w:pPr>
        <w:ind w:left="180"/>
        <w:jc w:val="both"/>
        <w:rPr>
          <w:rFonts w:ascii="Syntax-Roman" w:hAnsi="Syntax-Roman"/>
          <w:b/>
          <w:sz w:val="22"/>
        </w:rPr>
      </w:pPr>
      <w:r w:rsidRPr="00C601FC">
        <w:rPr>
          <w:rFonts w:ascii="Syntax-Roman" w:hAnsi="Syntax-Roman"/>
          <w:b/>
          <w:sz w:val="22"/>
        </w:rPr>
        <w:t xml:space="preserve">Afschaffing </w:t>
      </w:r>
      <w:proofErr w:type="spellStart"/>
      <w:r w:rsidRPr="00C601FC">
        <w:rPr>
          <w:rFonts w:ascii="Syntax-Roman" w:hAnsi="Syntax-Roman"/>
          <w:b/>
          <w:sz w:val="22"/>
        </w:rPr>
        <w:t>jaarloonuitvraag</w:t>
      </w:r>
      <w:proofErr w:type="spellEnd"/>
    </w:p>
    <w:p w:rsidR="00ED1401" w:rsidRDefault="00ED1401" w:rsidP="00ED1401">
      <w:pPr>
        <w:ind w:left="180"/>
        <w:jc w:val="both"/>
        <w:rPr>
          <w:rFonts w:ascii="Garamond" w:hAnsi="Garamond"/>
          <w:sz w:val="22"/>
          <w:szCs w:val="22"/>
        </w:rPr>
      </w:pPr>
      <w:r>
        <w:rPr>
          <w:rFonts w:ascii="Garamond" w:hAnsi="Garamond"/>
          <w:sz w:val="22"/>
          <w:szCs w:val="22"/>
        </w:rPr>
        <w:t xml:space="preserve">De </w:t>
      </w:r>
      <w:proofErr w:type="spellStart"/>
      <w:r>
        <w:rPr>
          <w:rFonts w:ascii="Garamond" w:hAnsi="Garamond"/>
          <w:sz w:val="22"/>
          <w:szCs w:val="22"/>
        </w:rPr>
        <w:t>jaarloonuitvraag</w:t>
      </w:r>
      <w:proofErr w:type="spellEnd"/>
      <w:r>
        <w:rPr>
          <w:rFonts w:ascii="Garamond" w:hAnsi="Garamond"/>
          <w:sz w:val="22"/>
          <w:szCs w:val="22"/>
        </w:rPr>
        <w:t xml:space="preserve"> heeft voor de Belastingdienst en UWV geen betekenis meer omdat de loonaangifteketen sterk is verbeterd. De mogelijkheid voor de Belastingdienst om een </w:t>
      </w:r>
      <w:proofErr w:type="spellStart"/>
      <w:r>
        <w:rPr>
          <w:rFonts w:ascii="Garamond" w:hAnsi="Garamond"/>
          <w:sz w:val="22"/>
          <w:szCs w:val="22"/>
        </w:rPr>
        <w:t>jaarloonuitvraag</w:t>
      </w:r>
      <w:proofErr w:type="spellEnd"/>
      <w:r>
        <w:rPr>
          <w:rFonts w:ascii="Garamond" w:hAnsi="Garamond"/>
          <w:sz w:val="22"/>
          <w:szCs w:val="22"/>
        </w:rPr>
        <w:t xml:space="preserve"> te doen wordt daarom afgeschaft. Met de afschaffing van de </w:t>
      </w:r>
      <w:proofErr w:type="spellStart"/>
      <w:r>
        <w:rPr>
          <w:rFonts w:ascii="Garamond" w:hAnsi="Garamond"/>
          <w:sz w:val="22"/>
          <w:szCs w:val="22"/>
        </w:rPr>
        <w:t>jaarloonuitvraag</w:t>
      </w:r>
      <w:proofErr w:type="spellEnd"/>
      <w:r>
        <w:rPr>
          <w:rFonts w:ascii="Garamond" w:hAnsi="Garamond"/>
          <w:sz w:val="22"/>
          <w:szCs w:val="22"/>
        </w:rPr>
        <w:t xml:space="preserve"> wordt op ICT-kosten bespaard. </w:t>
      </w:r>
    </w:p>
    <w:p w:rsidR="00ED1401" w:rsidRDefault="00ED1401" w:rsidP="00ED1401">
      <w:pPr>
        <w:ind w:left="180"/>
        <w:jc w:val="both"/>
        <w:rPr>
          <w:rFonts w:ascii="Garamond" w:hAnsi="Garamond"/>
          <w:sz w:val="22"/>
          <w:szCs w:val="22"/>
        </w:rPr>
      </w:pPr>
    </w:p>
    <w:p w:rsidR="00ED1401" w:rsidRPr="00C601FC" w:rsidRDefault="00ED1401" w:rsidP="00ED1401">
      <w:pPr>
        <w:ind w:left="180"/>
        <w:jc w:val="both"/>
        <w:rPr>
          <w:rFonts w:ascii="Syntax-Roman" w:hAnsi="Syntax-Roman"/>
          <w:b/>
          <w:sz w:val="22"/>
        </w:rPr>
      </w:pPr>
      <w:r w:rsidRPr="00C601FC">
        <w:rPr>
          <w:rFonts w:ascii="Syntax-Roman" w:hAnsi="Syntax-Roman"/>
          <w:b/>
          <w:sz w:val="22"/>
        </w:rPr>
        <w:t>Uitbreiding verlegging inhoudingsplicht</w:t>
      </w:r>
    </w:p>
    <w:p w:rsidR="00ED1401" w:rsidRDefault="00ED1401" w:rsidP="00ED1401">
      <w:pPr>
        <w:ind w:left="180"/>
        <w:jc w:val="both"/>
        <w:rPr>
          <w:rFonts w:ascii="Garamond" w:hAnsi="Garamond"/>
          <w:sz w:val="22"/>
          <w:szCs w:val="22"/>
        </w:rPr>
      </w:pPr>
      <w:r>
        <w:rPr>
          <w:rFonts w:ascii="Garamond" w:hAnsi="Garamond"/>
          <w:sz w:val="22"/>
          <w:szCs w:val="22"/>
        </w:rPr>
        <w:t xml:space="preserve">Voor concerns met Nederlandse en buitenlandse concernonderdelen wordt het altijd mogelijk de inhoudingsplicht te verleggen van een buitenlands naar een Nederlands concernonderdeel. Dat voorkomt dat het buitenlandse concernonderdeel relatief hoge kosten moet maken om een Nederlandse loonadministratie te voeren, als het in Nederland inhoudingsplichtig wordt. Tot op heden mag dat alleen als het Nederlandse concernonderdeel bemiddelt bij de tewerkstelling van een werknemer in Nederland. Die beperkende voorwaarde vervalt. </w:t>
      </w:r>
    </w:p>
    <w:p w:rsidR="00ED1401" w:rsidRDefault="00ED1401" w:rsidP="00ED1401">
      <w:pPr>
        <w:ind w:left="180"/>
        <w:jc w:val="both"/>
        <w:rPr>
          <w:rFonts w:ascii="Garamond" w:hAnsi="Garamond"/>
          <w:sz w:val="22"/>
          <w:szCs w:val="22"/>
        </w:rPr>
      </w:pPr>
    </w:p>
    <w:p w:rsidR="00ED1401" w:rsidRPr="00C601FC" w:rsidRDefault="00ED1401" w:rsidP="00ED1401">
      <w:pPr>
        <w:ind w:left="180"/>
        <w:jc w:val="both"/>
        <w:rPr>
          <w:rFonts w:ascii="Syntax-Roman" w:hAnsi="Syntax-Roman"/>
          <w:b/>
          <w:sz w:val="22"/>
        </w:rPr>
      </w:pPr>
      <w:r w:rsidRPr="00C601FC">
        <w:rPr>
          <w:rFonts w:ascii="Syntax-Roman" w:hAnsi="Syntax-Roman"/>
          <w:b/>
          <w:sz w:val="22"/>
        </w:rPr>
        <w:t>Let op!</w:t>
      </w:r>
    </w:p>
    <w:p w:rsidR="004B044E" w:rsidRDefault="00ED1401" w:rsidP="00ED1401">
      <w:pPr>
        <w:ind w:left="180"/>
        <w:jc w:val="both"/>
        <w:rPr>
          <w:rFonts w:ascii="Garamond" w:hAnsi="Garamond"/>
          <w:sz w:val="22"/>
          <w:szCs w:val="22"/>
        </w:rPr>
      </w:pPr>
      <w:r w:rsidRPr="00C601FC">
        <w:rPr>
          <w:rFonts w:ascii="Syntax-Roman" w:hAnsi="Syntax-Roman"/>
          <w:b/>
          <w:sz w:val="22"/>
        </w:rPr>
        <w:t>Om de inhoudingsplicht te verleggen is een gezamenlijk verzoek van beide concernonderdelen nodig</w:t>
      </w:r>
      <w:r>
        <w:rPr>
          <w:rFonts w:ascii="Garamond" w:hAnsi="Garamond"/>
          <w:sz w:val="22"/>
          <w:szCs w:val="22"/>
        </w:rPr>
        <w:t>.</w:t>
      </w:r>
    </w:p>
    <w:p w:rsidR="00ED1401" w:rsidRDefault="00ED1401" w:rsidP="00ED1401">
      <w:pPr>
        <w:ind w:left="180"/>
        <w:jc w:val="both"/>
        <w:rPr>
          <w:rFonts w:ascii="Garamond" w:hAnsi="Garamond"/>
          <w:sz w:val="22"/>
          <w:szCs w:val="22"/>
        </w:rPr>
      </w:pPr>
    </w:p>
    <w:p w:rsidR="00ED1401" w:rsidRDefault="00ED1401" w:rsidP="00ED1401">
      <w:pPr>
        <w:ind w:left="180"/>
        <w:jc w:val="both"/>
        <w:rPr>
          <w:rFonts w:ascii="Syntax-Roman" w:hAnsi="Syntax-Roman"/>
          <w:b/>
          <w:sz w:val="22"/>
          <w:szCs w:val="22"/>
        </w:rPr>
      </w:pPr>
    </w:p>
    <w:p w:rsidR="00C264EE" w:rsidRPr="00532BE0" w:rsidRDefault="00C264EE" w:rsidP="00C264EE">
      <w:pPr>
        <w:ind w:left="180"/>
        <w:jc w:val="both"/>
        <w:rPr>
          <w:rFonts w:ascii="Syntax-Roman" w:hAnsi="Syntax-Roman"/>
          <w:b/>
          <w:sz w:val="22"/>
          <w:szCs w:val="22"/>
        </w:rPr>
      </w:pPr>
      <w:r w:rsidRPr="00532BE0">
        <w:rPr>
          <w:rFonts w:ascii="Syntax-Roman" w:hAnsi="Syntax-Roman"/>
          <w:b/>
          <w:sz w:val="22"/>
          <w:szCs w:val="22"/>
        </w:rPr>
        <w:t>MAATREGELEN EIGEN WONING</w:t>
      </w:r>
    </w:p>
    <w:p w:rsidR="00C264EE" w:rsidRPr="00532BE0" w:rsidRDefault="00C264EE" w:rsidP="00C264EE">
      <w:pPr>
        <w:ind w:left="180"/>
        <w:jc w:val="both"/>
        <w:rPr>
          <w:rFonts w:ascii="Syntax-Roman" w:hAnsi="Syntax-Roman"/>
          <w:b/>
          <w:sz w:val="22"/>
          <w:szCs w:val="22"/>
        </w:rPr>
      </w:pPr>
    </w:p>
    <w:p w:rsidR="00ED1401" w:rsidRPr="00AA565F" w:rsidRDefault="00ED1401" w:rsidP="00ED1401">
      <w:pPr>
        <w:ind w:left="180"/>
        <w:jc w:val="both"/>
        <w:rPr>
          <w:rFonts w:ascii="Garamond" w:hAnsi="Garamond"/>
          <w:sz w:val="22"/>
          <w:szCs w:val="22"/>
        </w:rPr>
      </w:pPr>
      <w:r>
        <w:rPr>
          <w:rFonts w:ascii="Garamond" w:hAnsi="Garamond"/>
          <w:sz w:val="22"/>
          <w:szCs w:val="22"/>
        </w:rPr>
        <w:t>Voor de e</w:t>
      </w:r>
      <w:r w:rsidRPr="00AA565F">
        <w:rPr>
          <w:rFonts w:ascii="Garamond" w:hAnsi="Garamond"/>
          <w:sz w:val="22"/>
          <w:szCs w:val="22"/>
        </w:rPr>
        <w:t xml:space="preserve">igen woning wordt een </w:t>
      </w:r>
      <w:r>
        <w:rPr>
          <w:rFonts w:ascii="Garamond" w:hAnsi="Garamond"/>
          <w:sz w:val="22"/>
          <w:szCs w:val="22"/>
        </w:rPr>
        <w:t>aantal</w:t>
      </w:r>
      <w:r w:rsidRPr="00AA565F">
        <w:rPr>
          <w:rFonts w:ascii="Garamond" w:hAnsi="Garamond"/>
          <w:sz w:val="22"/>
          <w:szCs w:val="22"/>
        </w:rPr>
        <w:t xml:space="preserve"> beleidsbesluiten gecodificeerd</w:t>
      </w:r>
      <w:r>
        <w:rPr>
          <w:rFonts w:ascii="Garamond" w:hAnsi="Garamond"/>
          <w:sz w:val="22"/>
          <w:szCs w:val="22"/>
        </w:rPr>
        <w:t>.</w:t>
      </w:r>
    </w:p>
    <w:p w:rsidR="00ED1401" w:rsidRDefault="00ED1401" w:rsidP="00ED1401">
      <w:pPr>
        <w:ind w:left="180"/>
        <w:jc w:val="both"/>
        <w:rPr>
          <w:rFonts w:ascii="Syntax-Roman" w:hAnsi="Syntax-Roman"/>
          <w:b/>
          <w:sz w:val="22"/>
          <w:szCs w:val="22"/>
        </w:rPr>
      </w:pPr>
    </w:p>
    <w:p w:rsidR="00ED1401" w:rsidRDefault="00ED1401" w:rsidP="00ED1401">
      <w:pPr>
        <w:ind w:left="180"/>
        <w:jc w:val="both"/>
        <w:rPr>
          <w:rFonts w:ascii="Syntax-Roman" w:hAnsi="Syntax-Roman"/>
          <w:b/>
          <w:sz w:val="22"/>
          <w:szCs w:val="22"/>
        </w:rPr>
      </w:pPr>
      <w:r>
        <w:rPr>
          <w:rFonts w:ascii="Syntax-Roman" w:hAnsi="Syntax-Roman"/>
          <w:b/>
          <w:sz w:val="22"/>
          <w:szCs w:val="22"/>
        </w:rPr>
        <w:t>Besluit vruchtgebruik</w:t>
      </w:r>
    </w:p>
    <w:p w:rsidR="00ED1401" w:rsidRPr="004E668F" w:rsidRDefault="00ED1401" w:rsidP="00ED1401">
      <w:pPr>
        <w:ind w:left="180"/>
        <w:jc w:val="both"/>
        <w:rPr>
          <w:rFonts w:ascii="Garamond" w:hAnsi="Garamond"/>
          <w:sz w:val="22"/>
          <w:szCs w:val="22"/>
        </w:rPr>
      </w:pPr>
      <w:r>
        <w:rPr>
          <w:rFonts w:ascii="Garamond" w:hAnsi="Garamond"/>
          <w:sz w:val="22"/>
          <w:szCs w:val="22"/>
        </w:rPr>
        <w:t xml:space="preserve">Ten eerste het besluit vruchtgebruik van 21 februari 2014. </w:t>
      </w:r>
      <w:r w:rsidRPr="004E668F">
        <w:rPr>
          <w:rFonts w:ascii="Garamond" w:hAnsi="Garamond"/>
          <w:sz w:val="22"/>
          <w:szCs w:val="22"/>
        </w:rPr>
        <w:t>Per 2017 wordt in de wet opgenomen (vanaf 3.119a wet IB 2001)</w:t>
      </w:r>
      <w:r>
        <w:rPr>
          <w:rFonts w:ascii="Garamond" w:hAnsi="Garamond"/>
          <w:sz w:val="22"/>
          <w:szCs w:val="22"/>
        </w:rPr>
        <w:t xml:space="preserve"> dat</w:t>
      </w:r>
      <w:r w:rsidRPr="004E668F">
        <w:rPr>
          <w:rFonts w:ascii="Garamond" w:hAnsi="Garamond"/>
          <w:sz w:val="22"/>
          <w:szCs w:val="22"/>
        </w:rPr>
        <w:t>:</w:t>
      </w:r>
    </w:p>
    <w:p w:rsidR="00ED1401" w:rsidRPr="004E668F" w:rsidRDefault="00ED1401" w:rsidP="00ED1401">
      <w:pPr>
        <w:pStyle w:val="Lijstalinea"/>
        <w:numPr>
          <w:ilvl w:val="0"/>
          <w:numId w:val="19"/>
        </w:numPr>
        <w:spacing w:line="240" w:lineRule="auto"/>
        <w:jc w:val="both"/>
        <w:rPr>
          <w:rFonts w:ascii="Garamond" w:eastAsia="Times New Roman" w:hAnsi="Garamond"/>
          <w:lang w:eastAsia="nl-NL"/>
        </w:rPr>
      </w:pPr>
      <w:proofErr w:type="gramStart"/>
      <w:r w:rsidRPr="004E668F">
        <w:rPr>
          <w:rFonts w:ascii="Garamond" w:eastAsia="Times New Roman" w:hAnsi="Garamond"/>
          <w:lang w:eastAsia="nl-NL"/>
        </w:rPr>
        <w:t>dat</w:t>
      </w:r>
      <w:proofErr w:type="gramEnd"/>
      <w:r w:rsidRPr="004E668F">
        <w:rPr>
          <w:rFonts w:ascii="Garamond" w:eastAsia="Times New Roman" w:hAnsi="Garamond"/>
          <w:lang w:eastAsia="nl-NL"/>
        </w:rPr>
        <w:t xml:space="preserve"> </w:t>
      </w:r>
      <w:r>
        <w:rPr>
          <w:rFonts w:ascii="Garamond" w:eastAsia="Times New Roman" w:hAnsi="Garamond"/>
          <w:lang w:eastAsia="nl-NL"/>
        </w:rPr>
        <w:t xml:space="preserve">een schuld waarvan de belastingplichtige op grond van krachtens erfrecht verkregen recht van vruchtgebruik* gehouden is de kosten of lasten te dragen wordt – mits aan overige voorwaarden is voldaan (waaronder de aflossingseis) – als eigenwoningschuld aangemerkt, zodat recht bestaat op renteaftrek. </w:t>
      </w:r>
    </w:p>
    <w:p w:rsidR="00ED1401" w:rsidRPr="004E668F" w:rsidRDefault="00ED1401" w:rsidP="00ED1401">
      <w:pPr>
        <w:pStyle w:val="Lijstalinea"/>
        <w:numPr>
          <w:ilvl w:val="0"/>
          <w:numId w:val="19"/>
        </w:numPr>
        <w:spacing w:line="240" w:lineRule="auto"/>
        <w:jc w:val="both"/>
        <w:rPr>
          <w:rFonts w:ascii="Garamond" w:eastAsia="Times New Roman" w:hAnsi="Garamond"/>
          <w:lang w:eastAsia="nl-NL"/>
        </w:rPr>
      </w:pPr>
      <w:proofErr w:type="gramStart"/>
      <w:r w:rsidRPr="004E668F">
        <w:rPr>
          <w:rFonts w:ascii="Garamond" w:eastAsia="Times New Roman" w:hAnsi="Garamond"/>
          <w:lang w:eastAsia="nl-NL"/>
        </w:rPr>
        <w:lastRenderedPageBreak/>
        <w:t>dat</w:t>
      </w:r>
      <w:proofErr w:type="gramEnd"/>
      <w:r w:rsidRPr="004E668F">
        <w:rPr>
          <w:rFonts w:ascii="Garamond" w:eastAsia="Times New Roman" w:hAnsi="Garamond"/>
          <w:lang w:eastAsia="nl-NL"/>
        </w:rPr>
        <w:t xml:space="preserve"> de restschuldregeling van toepassing is</w:t>
      </w:r>
      <w:r>
        <w:rPr>
          <w:rFonts w:ascii="Garamond" w:eastAsia="Times New Roman" w:hAnsi="Garamond"/>
          <w:lang w:eastAsia="nl-NL"/>
        </w:rPr>
        <w:t xml:space="preserve"> – mits aan de overige voorwaarden is voldaan- op de vruchtgebruiker</w:t>
      </w:r>
      <w:r w:rsidRPr="004E668F">
        <w:rPr>
          <w:rFonts w:ascii="Garamond" w:eastAsia="Times New Roman" w:hAnsi="Garamond"/>
          <w:lang w:eastAsia="nl-NL"/>
        </w:rPr>
        <w:t>;</w:t>
      </w:r>
    </w:p>
    <w:p w:rsidR="00ED1401" w:rsidRPr="004E668F" w:rsidRDefault="00ED1401" w:rsidP="00ED1401">
      <w:pPr>
        <w:pStyle w:val="Lijstalinea"/>
        <w:numPr>
          <w:ilvl w:val="0"/>
          <w:numId w:val="19"/>
        </w:numPr>
        <w:spacing w:line="240" w:lineRule="auto"/>
        <w:jc w:val="both"/>
        <w:rPr>
          <w:rFonts w:ascii="Garamond" w:eastAsia="Times New Roman" w:hAnsi="Garamond"/>
          <w:lang w:eastAsia="nl-NL"/>
        </w:rPr>
      </w:pPr>
      <w:proofErr w:type="gramStart"/>
      <w:r w:rsidRPr="004E668F">
        <w:rPr>
          <w:rFonts w:ascii="Garamond" w:eastAsia="Times New Roman" w:hAnsi="Garamond"/>
          <w:lang w:eastAsia="nl-NL"/>
        </w:rPr>
        <w:t>als</w:t>
      </w:r>
      <w:proofErr w:type="gramEnd"/>
      <w:r w:rsidRPr="004E668F">
        <w:rPr>
          <w:rFonts w:ascii="Garamond" w:eastAsia="Times New Roman" w:hAnsi="Garamond"/>
          <w:lang w:eastAsia="nl-NL"/>
        </w:rPr>
        <w:t xml:space="preserve"> de vruchtgebruiker op het moment van overlijden van de erflater diens partner was</w:t>
      </w:r>
      <w:r>
        <w:rPr>
          <w:rFonts w:ascii="Garamond" w:eastAsia="Times New Roman" w:hAnsi="Garamond"/>
          <w:lang w:eastAsia="nl-NL"/>
        </w:rPr>
        <w:t>:</w:t>
      </w:r>
      <w:r w:rsidRPr="004E668F">
        <w:rPr>
          <w:rFonts w:ascii="Garamond" w:eastAsia="Times New Roman" w:hAnsi="Garamond"/>
          <w:lang w:eastAsia="nl-NL"/>
        </w:rPr>
        <w:t xml:space="preserve"> </w:t>
      </w:r>
    </w:p>
    <w:p w:rsidR="00ED1401" w:rsidRPr="004E668F" w:rsidRDefault="00ED1401" w:rsidP="00ED1401">
      <w:pPr>
        <w:pStyle w:val="Lijstalinea"/>
        <w:numPr>
          <w:ilvl w:val="1"/>
          <w:numId w:val="20"/>
        </w:numPr>
        <w:spacing w:line="240" w:lineRule="auto"/>
        <w:jc w:val="both"/>
        <w:rPr>
          <w:rFonts w:ascii="Garamond" w:eastAsia="Times New Roman" w:hAnsi="Garamond"/>
          <w:lang w:eastAsia="nl-NL"/>
        </w:rPr>
      </w:pPr>
      <w:proofErr w:type="gramStart"/>
      <w:r w:rsidRPr="004E668F">
        <w:rPr>
          <w:rFonts w:ascii="Garamond" w:eastAsia="Times New Roman" w:hAnsi="Garamond"/>
          <w:lang w:eastAsia="nl-NL"/>
        </w:rPr>
        <w:t>blijft</w:t>
      </w:r>
      <w:proofErr w:type="gramEnd"/>
      <w:r w:rsidRPr="004E668F">
        <w:rPr>
          <w:rFonts w:ascii="Garamond" w:eastAsia="Times New Roman" w:hAnsi="Garamond"/>
          <w:lang w:eastAsia="nl-NL"/>
        </w:rPr>
        <w:t xml:space="preserve"> het aflossingsschema van de erflater van toepassing</w:t>
      </w:r>
      <w:r>
        <w:rPr>
          <w:rFonts w:ascii="Garamond" w:eastAsia="Times New Roman" w:hAnsi="Garamond"/>
          <w:lang w:eastAsia="nl-NL"/>
        </w:rPr>
        <w:t xml:space="preserve"> op de schuld waar het krachtens erfrecht gevestigde vruchtgebruik betrekking op heeft</w:t>
      </w:r>
      <w:r w:rsidRPr="004E668F">
        <w:rPr>
          <w:rFonts w:ascii="Garamond" w:eastAsia="Times New Roman" w:hAnsi="Garamond"/>
          <w:lang w:eastAsia="nl-NL"/>
        </w:rPr>
        <w:t xml:space="preserve"> en;</w:t>
      </w:r>
    </w:p>
    <w:p w:rsidR="00ED1401" w:rsidRPr="004E668F" w:rsidRDefault="00ED1401" w:rsidP="00ED1401">
      <w:pPr>
        <w:pStyle w:val="Lijstalinea"/>
        <w:numPr>
          <w:ilvl w:val="1"/>
          <w:numId w:val="20"/>
        </w:numPr>
        <w:spacing w:line="240" w:lineRule="auto"/>
        <w:jc w:val="both"/>
        <w:rPr>
          <w:rFonts w:ascii="Garamond" w:eastAsia="Times New Roman" w:hAnsi="Garamond"/>
          <w:lang w:eastAsia="nl-NL"/>
        </w:rPr>
      </w:pPr>
      <w:proofErr w:type="gramStart"/>
      <w:r>
        <w:rPr>
          <w:rFonts w:ascii="Garamond" w:eastAsia="Times New Roman" w:hAnsi="Garamond"/>
          <w:lang w:eastAsia="nl-NL"/>
        </w:rPr>
        <w:t>is</w:t>
      </w:r>
      <w:proofErr w:type="gramEnd"/>
      <w:r w:rsidRPr="004E668F">
        <w:rPr>
          <w:rFonts w:ascii="Garamond" w:eastAsia="Times New Roman" w:hAnsi="Garamond"/>
          <w:lang w:eastAsia="nl-NL"/>
        </w:rPr>
        <w:t xml:space="preserve"> de schuld </w:t>
      </w:r>
      <w:r>
        <w:rPr>
          <w:rFonts w:ascii="Garamond" w:eastAsia="Times New Roman" w:hAnsi="Garamond"/>
          <w:lang w:eastAsia="nl-NL"/>
        </w:rPr>
        <w:t xml:space="preserve">voor de vruchtgebruiker </w:t>
      </w:r>
      <w:r w:rsidRPr="004E668F">
        <w:rPr>
          <w:rFonts w:ascii="Garamond" w:eastAsia="Times New Roman" w:hAnsi="Garamond"/>
          <w:lang w:eastAsia="nl-NL"/>
        </w:rPr>
        <w:t xml:space="preserve">een bestaande eigen woningschuld (een schuld van voor </w:t>
      </w:r>
      <w:r>
        <w:rPr>
          <w:rFonts w:ascii="Garamond" w:eastAsia="Times New Roman" w:hAnsi="Garamond"/>
          <w:lang w:eastAsia="nl-NL"/>
        </w:rPr>
        <w:t xml:space="preserve">1 januari </w:t>
      </w:r>
      <w:r w:rsidRPr="004E668F">
        <w:rPr>
          <w:rFonts w:ascii="Garamond" w:eastAsia="Times New Roman" w:hAnsi="Garamond"/>
          <w:lang w:eastAsia="nl-NL"/>
        </w:rPr>
        <w:t>2013</w:t>
      </w:r>
      <w:r>
        <w:rPr>
          <w:rFonts w:ascii="Garamond" w:eastAsia="Times New Roman" w:hAnsi="Garamond"/>
          <w:lang w:eastAsia="nl-NL"/>
        </w:rPr>
        <w:t>, waarvoor dus geen aflossingseis geldt</w:t>
      </w:r>
      <w:r w:rsidRPr="004E668F">
        <w:rPr>
          <w:rFonts w:ascii="Garamond" w:eastAsia="Times New Roman" w:hAnsi="Garamond"/>
          <w:lang w:eastAsia="nl-NL"/>
        </w:rPr>
        <w:t>).</w:t>
      </w:r>
    </w:p>
    <w:p w:rsidR="00ED1401" w:rsidRPr="007407CA" w:rsidRDefault="00ED1401" w:rsidP="00ED1401">
      <w:pPr>
        <w:ind w:left="284"/>
        <w:jc w:val="both"/>
        <w:rPr>
          <w:rFonts w:ascii="Garamond" w:hAnsi="Garamond"/>
          <w:i/>
          <w:sz w:val="18"/>
          <w:szCs w:val="18"/>
        </w:rPr>
      </w:pPr>
      <w:r w:rsidRPr="007407CA">
        <w:rPr>
          <w:rFonts w:ascii="Garamond" w:hAnsi="Garamond"/>
          <w:b/>
          <w:i/>
          <w:sz w:val="18"/>
          <w:szCs w:val="18"/>
        </w:rPr>
        <w:t>*</w:t>
      </w:r>
      <w:r w:rsidRPr="007407CA">
        <w:rPr>
          <w:rFonts w:ascii="Garamond" w:hAnsi="Garamond"/>
          <w:i/>
          <w:sz w:val="18"/>
          <w:szCs w:val="18"/>
        </w:rPr>
        <w:t xml:space="preserve"> Waar vruchtgebruik wordt genoemd, wordt overeenkomstig ook een recht op bewoning of een recht van gebruik bedoeld. </w:t>
      </w:r>
    </w:p>
    <w:p w:rsidR="00ED1401" w:rsidRDefault="00ED1401" w:rsidP="00ED1401">
      <w:pPr>
        <w:ind w:left="284"/>
        <w:jc w:val="both"/>
        <w:rPr>
          <w:rFonts w:ascii="Syntax-Roman" w:eastAsia="Calibri" w:hAnsi="Syntax-Roman"/>
          <w:sz w:val="22"/>
          <w:szCs w:val="22"/>
          <w:lang w:eastAsia="en-US"/>
        </w:rPr>
      </w:pPr>
    </w:p>
    <w:p w:rsidR="00ED1401" w:rsidRPr="004B044E" w:rsidRDefault="00ED1401" w:rsidP="00ED1401">
      <w:pPr>
        <w:ind w:left="180"/>
        <w:jc w:val="both"/>
        <w:rPr>
          <w:rFonts w:ascii="Syntax-Roman" w:hAnsi="Syntax-Roman"/>
          <w:b/>
          <w:sz w:val="22"/>
        </w:rPr>
      </w:pPr>
      <w:r>
        <w:rPr>
          <w:rFonts w:ascii="Syntax-Roman" w:hAnsi="Syntax-Roman"/>
          <w:b/>
          <w:sz w:val="22"/>
        </w:rPr>
        <w:t>Besluit tijdklemmen</w:t>
      </w:r>
    </w:p>
    <w:p w:rsidR="00ED1401" w:rsidRDefault="00ED1401" w:rsidP="00ED1401">
      <w:pPr>
        <w:ind w:left="180"/>
        <w:jc w:val="both"/>
        <w:rPr>
          <w:rFonts w:ascii="Garamond" w:hAnsi="Garamond"/>
          <w:sz w:val="22"/>
          <w:szCs w:val="22"/>
        </w:rPr>
      </w:pPr>
      <w:r>
        <w:rPr>
          <w:rFonts w:ascii="Garamond" w:hAnsi="Garamond"/>
          <w:sz w:val="22"/>
          <w:szCs w:val="22"/>
        </w:rPr>
        <w:t xml:space="preserve">Een van de voorwaarden om een vrijstelling te kunnen benutten bij het tot uitkering komen van een kapitaalverzekering eigen woning, een spaarrekening eigen woning, een beleggingsrekening eigen woning of een beleggingsrecht eigen woning is dat tenminste 15 of 20 jaar jaarlijks premie is ingelegd of bedragen zijn overgemaakt (de tijdklem). In sommige situaties kunnen mensen daar niet aan voldoen. </w:t>
      </w:r>
    </w:p>
    <w:p w:rsidR="00ED1401" w:rsidRDefault="00ED1401" w:rsidP="00ED1401">
      <w:pPr>
        <w:ind w:left="180"/>
        <w:jc w:val="both"/>
        <w:rPr>
          <w:rFonts w:ascii="Garamond" w:hAnsi="Garamond"/>
          <w:sz w:val="22"/>
          <w:szCs w:val="22"/>
        </w:rPr>
      </w:pPr>
      <w:r>
        <w:rPr>
          <w:rFonts w:ascii="Garamond" w:hAnsi="Garamond"/>
          <w:sz w:val="22"/>
          <w:szCs w:val="22"/>
        </w:rPr>
        <w:t>In de wet worden nu de uitzonderingssituaties uit het besluit opgenomen en uitgebreid. Er kan daardoor vervroegd worden afgekocht:</w:t>
      </w:r>
    </w:p>
    <w:p w:rsidR="00ED1401" w:rsidRDefault="00ED1401" w:rsidP="00ED1401">
      <w:pPr>
        <w:pStyle w:val="Lijstalinea"/>
        <w:numPr>
          <w:ilvl w:val="0"/>
          <w:numId w:val="18"/>
        </w:numPr>
        <w:spacing w:line="240" w:lineRule="auto"/>
        <w:jc w:val="both"/>
        <w:rPr>
          <w:rFonts w:ascii="Garamond" w:hAnsi="Garamond"/>
        </w:rPr>
      </w:pPr>
      <w:proofErr w:type="gramStart"/>
      <w:r>
        <w:rPr>
          <w:rFonts w:ascii="Garamond" w:hAnsi="Garamond"/>
        </w:rPr>
        <w:t>bij</w:t>
      </w:r>
      <w:proofErr w:type="gramEnd"/>
      <w:r>
        <w:rPr>
          <w:rFonts w:ascii="Garamond" w:hAnsi="Garamond"/>
        </w:rPr>
        <w:t xml:space="preserve"> beëindiging partnerschap belastingplichtige;</w:t>
      </w:r>
    </w:p>
    <w:p w:rsidR="00ED1401" w:rsidRDefault="00ED1401" w:rsidP="00ED1401">
      <w:pPr>
        <w:pStyle w:val="Lijstalinea"/>
        <w:numPr>
          <w:ilvl w:val="0"/>
          <w:numId w:val="18"/>
        </w:numPr>
        <w:spacing w:line="240" w:lineRule="auto"/>
        <w:jc w:val="both"/>
        <w:rPr>
          <w:rFonts w:ascii="Garamond" w:hAnsi="Garamond"/>
        </w:rPr>
      </w:pPr>
      <w:proofErr w:type="gramStart"/>
      <w:r>
        <w:rPr>
          <w:rFonts w:ascii="Garamond" w:hAnsi="Garamond"/>
        </w:rPr>
        <w:t>bij</w:t>
      </w:r>
      <w:proofErr w:type="gramEnd"/>
      <w:r>
        <w:rPr>
          <w:rFonts w:ascii="Garamond" w:hAnsi="Garamond"/>
        </w:rPr>
        <w:t xml:space="preserve"> schuldhulpverlening;</w:t>
      </w:r>
    </w:p>
    <w:p w:rsidR="00ED1401" w:rsidRDefault="00ED1401" w:rsidP="00ED1401">
      <w:pPr>
        <w:pStyle w:val="Lijstalinea"/>
        <w:numPr>
          <w:ilvl w:val="0"/>
          <w:numId w:val="18"/>
        </w:numPr>
        <w:spacing w:line="240" w:lineRule="auto"/>
        <w:jc w:val="both"/>
        <w:rPr>
          <w:rFonts w:ascii="Garamond" w:hAnsi="Garamond"/>
        </w:rPr>
      </w:pPr>
      <w:proofErr w:type="gramStart"/>
      <w:r>
        <w:rPr>
          <w:rFonts w:ascii="Garamond" w:hAnsi="Garamond"/>
        </w:rPr>
        <w:t>bij</w:t>
      </w:r>
      <w:proofErr w:type="gramEnd"/>
      <w:r>
        <w:rPr>
          <w:rFonts w:ascii="Garamond" w:hAnsi="Garamond"/>
        </w:rPr>
        <w:t xml:space="preserve"> verkoop van de woning als op dat moment nog steeds of opnieuw een eigen woning ter beschikking staat;</w:t>
      </w:r>
    </w:p>
    <w:p w:rsidR="00ED1401" w:rsidRDefault="00ED1401" w:rsidP="00ED1401">
      <w:pPr>
        <w:pStyle w:val="Lijstalinea"/>
        <w:numPr>
          <w:ilvl w:val="0"/>
          <w:numId w:val="18"/>
        </w:numPr>
        <w:spacing w:line="240" w:lineRule="auto"/>
        <w:jc w:val="both"/>
        <w:rPr>
          <w:rFonts w:ascii="Garamond" w:hAnsi="Garamond"/>
        </w:rPr>
      </w:pPr>
      <w:proofErr w:type="gramStart"/>
      <w:r>
        <w:rPr>
          <w:rFonts w:ascii="Garamond" w:hAnsi="Garamond"/>
        </w:rPr>
        <w:t>de</w:t>
      </w:r>
      <w:proofErr w:type="gramEnd"/>
      <w:r>
        <w:rPr>
          <w:rFonts w:ascii="Garamond" w:hAnsi="Garamond"/>
        </w:rPr>
        <w:t xml:space="preserve"> lasten van zijn woning - binnen afzienbare tijd –  niet meer kan voldoen.</w:t>
      </w:r>
    </w:p>
    <w:p w:rsidR="00ED1401" w:rsidRDefault="00ED1401" w:rsidP="00ED1401">
      <w:pPr>
        <w:jc w:val="both"/>
        <w:rPr>
          <w:rFonts w:ascii="Garamond" w:hAnsi="Garamond"/>
          <w:sz w:val="22"/>
          <w:szCs w:val="22"/>
        </w:rPr>
      </w:pPr>
      <w:r w:rsidRPr="008A421A">
        <w:rPr>
          <w:rFonts w:ascii="Garamond" w:hAnsi="Garamond"/>
          <w:sz w:val="22"/>
          <w:szCs w:val="22"/>
        </w:rPr>
        <w:t xml:space="preserve">Bij goedkoper gaan wonen blijft </w:t>
      </w:r>
      <w:r>
        <w:rPr>
          <w:rFonts w:ascii="Garamond" w:hAnsi="Garamond"/>
          <w:sz w:val="22"/>
          <w:szCs w:val="22"/>
        </w:rPr>
        <w:t xml:space="preserve">bovendien </w:t>
      </w:r>
      <w:r w:rsidRPr="008A421A">
        <w:rPr>
          <w:rFonts w:ascii="Garamond" w:hAnsi="Garamond"/>
          <w:sz w:val="22"/>
          <w:szCs w:val="22"/>
        </w:rPr>
        <w:t>de oude vrijstelling gelden.</w:t>
      </w:r>
    </w:p>
    <w:p w:rsidR="00ED1401" w:rsidRDefault="00ED1401" w:rsidP="00ED1401">
      <w:pPr>
        <w:ind w:left="181"/>
        <w:jc w:val="both"/>
        <w:rPr>
          <w:rFonts w:ascii="Garamond" w:hAnsi="Garamond"/>
          <w:sz w:val="22"/>
          <w:szCs w:val="22"/>
        </w:rPr>
      </w:pPr>
    </w:p>
    <w:p w:rsidR="00ED1401" w:rsidRPr="00ED1401" w:rsidRDefault="00ED1401" w:rsidP="00ED1401">
      <w:pPr>
        <w:ind w:left="181"/>
        <w:jc w:val="both"/>
        <w:rPr>
          <w:rFonts w:ascii="Syntax-Roman" w:hAnsi="Syntax-Roman"/>
          <w:b/>
          <w:sz w:val="22"/>
          <w:szCs w:val="22"/>
        </w:rPr>
      </w:pPr>
      <w:r w:rsidRPr="00ED1401">
        <w:rPr>
          <w:rFonts w:ascii="Syntax-Roman" w:hAnsi="Syntax-Roman"/>
          <w:b/>
          <w:sz w:val="22"/>
          <w:szCs w:val="22"/>
        </w:rPr>
        <w:t>Rentemiddeling</w:t>
      </w:r>
    </w:p>
    <w:p w:rsidR="00ED1401" w:rsidRDefault="00ED1401" w:rsidP="00ED1401">
      <w:pPr>
        <w:ind w:left="181"/>
        <w:jc w:val="both"/>
        <w:rPr>
          <w:rFonts w:ascii="Garamond" w:hAnsi="Garamond"/>
          <w:sz w:val="22"/>
          <w:szCs w:val="22"/>
        </w:rPr>
      </w:pPr>
      <w:r>
        <w:rPr>
          <w:rFonts w:ascii="Garamond" w:hAnsi="Garamond"/>
          <w:sz w:val="22"/>
          <w:szCs w:val="22"/>
        </w:rPr>
        <w:t xml:space="preserve">Tot slot wordt ook het besluit gecodificeerd waarin de fiscale belemmeringen voor het aanbieden van rentemiddeling door banken worden weggenomen. </w:t>
      </w:r>
    </w:p>
    <w:p w:rsidR="00ED1401" w:rsidRDefault="00ED1401" w:rsidP="00ED1401">
      <w:pPr>
        <w:ind w:left="181"/>
        <w:jc w:val="both"/>
        <w:rPr>
          <w:rFonts w:ascii="Syntax-Roman" w:hAnsi="Syntax-Roman"/>
          <w:b/>
          <w:sz w:val="22"/>
        </w:rPr>
      </w:pPr>
    </w:p>
    <w:p w:rsidR="00ED1401" w:rsidRPr="004B044E" w:rsidRDefault="00ED1401" w:rsidP="00ED1401">
      <w:pPr>
        <w:ind w:left="181"/>
        <w:jc w:val="both"/>
        <w:rPr>
          <w:rFonts w:ascii="Syntax-Roman" w:hAnsi="Syntax-Roman"/>
          <w:b/>
          <w:sz w:val="22"/>
        </w:rPr>
      </w:pPr>
      <w:r>
        <w:rPr>
          <w:rFonts w:ascii="Syntax-Roman" w:hAnsi="Syntax-Roman"/>
          <w:b/>
          <w:sz w:val="22"/>
        </w:rPr>
        <w:t>Verlenging aanslagtermijn schenking eigen woning</w:t>
      </w:r>
    </w:p>
    <w:p w:rsidR="00ED1401" w:rsidRDefault="00ED1401" w:rsidP="00ED1401">
      <w:pPr>
        <w:ind w:left="181"/>
        <w:jc w:val="both"/>
        <w:rPr>
          <w:rFonts w:ascii="Garamond" w:hAnsi="Garamond"/>
          <w:sz w:val="22"/>
          <w:szCs w:val="22"/>
        </w:rPr>
      </w:pPr>
      <w:r>
        <w:rPr>
          <w:rFonts w:ascii="Garamond" w:hAnsi="Garamond"/>
          <w:sz w:val="22"/>
          <w:szCs w:val="22"/>
        </w:rPr>
        <w:t xml:space="preserve">De laatste maatregel voor de eigen woning is van een andere aard. Op grond van het Belastingplan 2016 mag iedereen tussen 18 en 40 jaar per schenker eenmalig een schenking van maximaal € 100.000 vrijgesteld ontvangen. Op grond van de ervaringen met de regeling uit 2013/2014 wordt de termijn van voor het opleggen van een aanslag te kort gevonden.  Vaak was niet tijdig duidelijk hoe de schenking was aangewend. De termijn voor het opleggen van een aanslag wordt om die reden met twee jaar verlengd tot vijf jaar. </w:t>
      </w:r>
    </w:p>
    <w:p w:rsidR="00ED1401" w:rsidRDefault="00ED1401" w:rsidP="00ED1401">
      <w:pPr>
        <w:ind w:left="181"/>
        <w:jc w:val="both"/>
        <w:rPr>
          <w:rFonts w:ascii="Garamond" w:hAnsi="Garamond"/>
          <w:sz w:val="22"/>
          <w:szCs w:val="22"/>
        </w:rPr>
      </w:pPr>
    </w:p>
    <w:p w:rsidR="00ED1401" w:rsidRPr="008B4322" w:rsidRDefault="00ED1401" w:rsidP="00ED1401">
      <w:pPr>
        <w:ind w:left="181"/>
        <w:jc w:val="both"/>
        <w:rPr>
          <w:rFonts w:ascii="Syntax-Roman" w:hAnsi="Syntax-Roman"/>
          <w:b/>
          <w:sz w:val="22"/>
        </w:rPr>
      </w:pPr>
      <w:r w:rsidRPr="008B4322">
        <w:rPr>
          <w:rFonts w:ascii="Syntax-Roman" w:hAnsi="Syntax-Roman"/>
          <w:b/>
          <w:sz w:val="22"/>
        </w:rPr>
        <w:t>Tip</w:t>
      </w:r>
    </w:p>
    <w:p w:rsidR="00ED1401" w:rsidRDefault="00ED1401" w:rsidP="00ED1401">
      <w:pPr>
        <w:ind w:left="181"/>
        <w:jc w:val="both"/>
        <w:rPr>
          <w:rFonts w:ascii="Syntax-Roman" w:hAnsi="Syntax-Roman"/>
          <w:b/>
          <w:sz w:val="22"/>
        </w:rPr>
      </w:pPr>
      <w:r w:rsidRPr="008B4322">
        <w:rPr>
          <w:rFonts w:ascii="Syntax-Roman" w:hAnsi="Syntax-Roman"/>
          <w:b/>
          <w:sz w:val="22"/>
        </w:rPr>
        <w:t>Het is mogelijk deze vrijstelling verspreid over drie achtereenvolgende kalenderjaren te benutten.</w:t>
      </w:r>
    </w:p>
    <w:p w:rsidR="00ED1401" w:rsidRDefault="00ED1401" w:rsidP="00ED1401">
      <w:pPr>
        <w:ind w:left="181"/>
        <w:jc w:val="both"/>
        <w:rPr>
          <w:rFonts w:ascii="Syntax-Roman" w:hAnsi="Syntax-Roman"/>
          <w:b/>
          <w:sz w:val="22"/>
          <w:szCs w:val="22"/>
        </w:rPr>
      </w:pPr>
    </w:p>
    <w:p w:rsidR="00ED1401" w:rsidRPr="00CE725F" w:rsidRDefault="00ED1401" w:rsidP="00ED1401">
      <w:pPr>
        <w:ind w:left="181"/>
        <w:jc w:val="both"/>
        <w:rPr>
          <w:rFonts w:ascii="Syntax-Roman" w:hAnsi="Syntax-Roman"/>
          <w:b/>
          <w:sz w:val="22"/>
          <w:szCs w:val="22"/>
        </w:rPr>
      </w:pPr>
      <w:r w:rsidRPr="00CE725F">
        <w:rPr>
          <w:rFonts w:ascii="Syntax-Roman" w:hAnsi="Syntax-Roman"/>
          <w:b/>
          <w:sz w:val="22"/>
          <w:szCs w:val="22"/>
        </w:rPr>
        <w:t>Let op!</w:t>
      </w:r>
    </w:p>
    <w:p w:rsidR="00532BE0" w:rsidRDefault="00ED1401" w:rsidP="00ED1401">
      <w:pPr>
        <w:ind w:left="181"/>
        <w:jc w:val="both"/>
        <w:rPr>
          <w:rFonts w:ascii="Syntax-Roman" w:hAnsi="Syntax-Roman"/>
          <w:b/>
          <w:sz w:val="22"/>
          <w:szCs w:val="22"/>
        </w:rPr>
      </w:pPr>
      <w:r w:rsidRPr="00CE725F">
        <w:rPr>
          <w:rFonts w:ascii="Syntax-Roman" w:hAnsi="Syntax-Roman"/>
          <w:b/>
          <w:sz w:val="22"/>
          <w:szCs w:val="22"/>
        </w:rPr>
        <w:t xml:space="preserve">De toepassing van de verhoogde </w:t>
      </w:r>
      <w:proofErr w:type="spellStart"/>
      <w:proofErr w:type="gramStart"/>
      <w:r w:rsidRPr="00CE725F">
        <w:rPr>
          <w:rFonts w:ascii="Syntax-Roman" w:hAnsi="Syntax-Roman"/>
          <w:b/>
          <w:sz w:val="22"/>
          <w:szCs w:val="22"/>
        </w:rPr>
        <w:t>vrijstel-ling</w:t>
      </w:r>
      <w:proofErr w:type="spellEnd"/>
      <w:proofErr w:type="gramEnd"/>
      <w:r w:rsidRPr="00CE725F">
        <w:rPr>
          <w:rFonts w:ascii="Syntax-Roman" w:hAnsi="Syntax-Roman"/>
          <w:b/>
          <w:sz w:val="22"/>
          <w:szCs w:val="22"/>
        </w:rPr>
        <w:t xml:space="preserve"> wordt beïnvloed als eventueel in een voorgaand jaar al een eenmalig verhoogde vrijstelling werd toegepast.</w:t>
      </w:r>
    </w:p>
    <w:p w:rsidR="00ED1401" w:rsidRPr="001D6A1C" w:rsidRDefault="00ED1401" w:rsidP="00ED1401">
      <w:pPr>
        <w:ind w:left="181"/>
        <w:jc w:val="both"/>
        <w:rPr>
          <w:rFonts w:ascii="Garamond" w:hAnsi="Garamond"/>
          <w:sz w:val="22"/>
        </w:rPr>
      </w:pPr>
    </w:p>
    <w:p w:rsidR="00ED1401" w:rsidRDefault="00ED1401" w:rsidP="00ED1401">
      <w:pPr>
        <w:ind w:left="181"/>
        <w:jc w:val="both"/>
        <w:rPr>
          <w:rFonts w:ascii="Syntax-Roman" w:hAnsi="Syntax-Roman"/>
          <w:b/>
          <w:sz w:val="22"/>
          <w:szCs w:val="22"/>
        </w:rPr>
      </w:pPr>
    </w:p>
    <w:p w:rsidR="00C264EE" w:rsidRDefault="00C264EE" w:rsidP="00ED1401">
      <w:pPr>
        <w:ind w:left="181"/>
        <w:jc w:val="both"/>
        <w:rPr>
          <w:rFonts w:ascii="Syntax-Roman" w:hAnsi="Syntax-Roman"/>
          <w:b/>
          <w:sz w:val="22"/>
          <w:szCs w:val="22"/>
        </w:rPr>
      </w:pPr>
      <w:r w:rsidRPr="006A13EA">
        <w:rPr>
          <w:rFonts w:ascii="Syntax-Roman" w:hAnsi="Syntax-Roman"/>
          <w:b/>
          <w:sz w:val="22"/>
          <w:szCs w:val="22"/>
        </w:rPr>
        <w:t xml:space="preserve">MAATREGELEN </w:t>
      </w:r>
      <w:r w:rsidR="006A52E6">
        <w:rPr>
          <w:rFonts w:ascii="Syntax-Roman" w:hAnsi="Syntax-Roman"/>
          <w:b/>
          <w:sz w:val="22"/>
          <w:szCs w:val="22"/>
        </w:rPr>
        <w:t>VERMOGENDE PARTICULIEREN</w:t>
      </w:r>
    </w:p>
    <w:p w:rsidR="003B5A90" w:rsidRDefault="003B5A90" w:rsidP="00ED1401">
      <w:pPr>
        <w:jc w:val="both"/>
        <w:rPr>
          <w:rFonts w:ascii="Syntax-Roman" w:hAnsi="Syntax-Roman"/>
          <w:b/>
          <w:sz w:val="22"/>
        </w:rPr>
      </w:pPr>
    </w:p>
    <w:p w:rsidR="003B5A90" w:rsidRPr="004B044E" w:rsidRDefault="003B5A90" w:rsidP="003B5A90">
      <w:pPr>
        <w:ind w:left="180"/>
        <w:jc w:val="both"/>
        <w:rPr>
          <w:rFonts w:ascii="Syntax-Roman" w:hAnsi="Syntax-Roman"/>
          <w:b/>
          <w:sz w:val="22"/>
        </w:rPr>
      </w:pPr>
      <w:r>
        <w:rPr>
          <w:rFonts w:ascii="Syntax-Roman" w:hAnsi="Syntax-Roman"/>
          <w:b/>
          <w:sz w:val="22"/>
        </w:rPr>
        <w:t>Beleggen via flits-</w:t>
      </w:r>
      <w:proofErr w:type="spellStart"/>
      <w:r>
        <w:rPr>
          <w:rFonts w:ascii="Syntax-Roman" w:hAnsi="Syntax-Roman"/>
          <w:b/>
          <w:sz w:val="22"/>
        </w:rPr>
        <w:t>vbi</w:t>
      </w:r>
      <w:proofErr w:type="spellEnd"/>
      <w:r>
        <w:rPr>
          <w:rFonts w:ascii="Syntax-Roman" w:hAnsi="Syntax-Roman"/>
          <w:b/>
          <w:sz w:val="22"/>
        </w:rPr>
        <w:t xml:space="preserve"> minder aantrekkelijk</w:t>
      </w:r>
    </w:p>
    <w:p w:rsidR="003B5A90" w:rsidRDefault="003B5A90" w:rsidP="00ED1401">
      <w:pPr>
        <w:ind w:left="180"/>
        <w:jc w:val="both"/>
        <w:rPr>
          <w:rFonts w:ascii="Garamond" w:hAnsi="Garamond"/>
          <w:sz w:val="22"/>
          <w:szCs w:val="22"/>
        </w:rPr>
      </w:pPr>
      <w:r>
        <w:rPr>
          <w:rFonts w:ascii="Garamond" w:hAnsi="Garamond"/>
          <w:sz w:val="22"/>
          <w:szCs w:val="22"/>
        </w:rPr>
        <w:t>Onder de huidige regeling kan de b</w:t>
      </w:r>
      <w:r w:rsidRPr="00F10888">
        <w:rPr>
          <w:rFonts w:ascii="Garamond" w:hAnsi="Garamond"/>
          <w:sz w:val="22"/>
          <w:szCs w:val="22"/>
        </w:rPr>
        <w:t>elastingdruk op box 2-vermogen worden beperkt</w:t>
      </w:r>
      <w:r>
        <w:rPr>
          <w:rFonts w:ascii="Garamond" w:hAnsi="Garamond"/>
          <w:sz w:val="22"/>
          <w:szCs w:val="22"/>
        </w:rPr>
        <w:t xml:space="preserve"> </w:t>
      </w:r>
      <w:r w:rsidRPr="00F10888">
        <w:rPr>
          <w:rFonts w:ascii="Garamond" w:hAnsi="Garamond"/>
          <w:sz w:val="22"/>
          <w:szCs w:val="22"/>
        </w:rPr>
        <w:t>door vermogen waarop een a</w:t>
      </w:r>
      <w:r>
        <w:rPr>
          <w:rFonts w:ascii="Garamond" w:hAnsi="Garamond"/>
          <w:sz w:val="22"/>
          <w:szCs w:val="22"/>
        </w:rPr>
        <w:t xml:space="preserve">anmerkelijk </w:t>
      </w:r>
      <w:r w:rsidRPr="00F10888">
        <w:rPr>
          <w:rFonts w:ascii="Garamond" w:hAnsi="Garamond"/>
          <w:sz w:val="22"/>
          <w:szCs w:val="22"/>
        </w:rPr>
        <w:t>b</w:t>
      </w:r>
      <w:r>
        <w:rPr>
          <w:rFonts w:ascii="Garamond" w:hAnsi="Garamond"/>
          <w:sz w:val="22"/>
          <w:szCs w:val="22"/>
        </w:rPr>
        <w:t>elang (</w:t>
      </w:r>
      <w:proofErr w:type="spellStart"/>
      <w:r>
        <w:rPr>
          <w:rFonts w:ascii="Garamond" w:hAnsi="Garamond"/>
          <w:sz w:val="22"/>
          <w:szCs w:val="22"/>
        </w:rPr>
        <w:t>ab</w:t>
      </w:r>
      <w:proofErr w:type="spellEnd"/>
      <w:r>
        <w:rPr>
          <w:rFonts w:ascii="Garamond" w:hAnsi="Garamond"/>
          <w:sz w:val="22"/>
          <w:szCs w:val="22"/>
        </w:rPr>
        <w:t>)-</w:t>
      </w:r>
      <w:r w:rsidRPr="00F10888">
        <w:rPr>
          <w:rFonts w:ascii="Garamond" w:hAnsi="Garamond"/>
          <w:sz w:val="22"/>
          <w:szCs w:val="22"/>
        </w:rPr>
        <w:t xml:space="preserve">claim rust onder te brengen in een </w:t>
      </w:r>
      <w:r>
        <w:rPr>
          <w:rFonts w:ascii="Garamond" w:hAnsi="Garamond"/>
          <w:sz w:val="22"/>
          <w:szCs w:val="22"/>
        </w:rPr>
        <w:t>vrijgestelde beleggingsinstellingen (</w:t>
      </w:r>
      <w:proofErr w:type="spellStart"/>
      <w:r>
        <w:rPr>
          <w:rFonts w:ascii="Garamond" w:hAnsi="Garamond"/>
          <w:sz w:val="22"/>
          <w:szCs w:val="22"/>
        </w:rPr>
        <w:t>vbi</w:t>
      </w:r>
      <w:proofErr w:type="spellEnd"/>
      <w:r>
        <w:rPr>
          <w:rFonts w:ascii="Garamond" w:hAnsi="Garamond"/>
          <w:sz w:val="22"/>
          <w:szCs w:val="22"/>
        </w:rPr>
        <w:t>)</w:t>
      </w:r>
      <w:r w:rsidRPr="00F10888">
        <w:rPr>
          <w:rFonts w:ascii="Garamond" w:hAnsi="Garamond"/>
          <w:sz w:val="22"/>
          <w:szCs w:val="22"/>
        </w:rPr>
        <w:t>. Box 3-heffing kan ontgaan</w:t>
      </w:r>
      <w:r>
        <w:rPr>
          <w:rFonts w:ascii="Garamond" w:hAnsi="Garamond"/>
          <w:sz w:val="22"/>
          <w:szCs w:val="22"/>
        </w:rPr>
        <w:t xml:space="preserve"> </w:t>
      </w:r>
      <w:r w:rsidRPr="00F10888">
        <w:rPr>
          <w:rFonts w:ascii="Garamond" w:hAnsi="Garamond"/>
          <w:sz w:val="22"/>
          <w:szCs w:val="22"/>
        </w:rPr>
        <w:t>worden door vermogen tijdelijk in box 2 te plaatsen</w:t>
      </w:r>
      <w:r>
        <w:rPr>
          <w:rFonts w:ascii="Garamond" w:hAnsi="Garamond"/>
          <w:sz w:val="22"/>
          <w:szCs w:val="22"/>
        </w:rPr>
        <w:t>,</w:t>
      </w:r>
      <w:r w:rsidRPr="00F10888">
        <w:rPr>
          <w:rFonts w:ascii="Garamond" w:hAnsi="Garamond"/>
          <w:sz w:val="22"/>
          <w:szCs w:val="22"/>
        </w:rPr>
        <w:t xml:space="preserve"> </w:t>
      </w:r>
      <w:r>
        <w:rPr>
          <w:rFonts w:ascii="Garamond" w:hAnsi="Garamond"/>
          <w:sz w:val="22"/>
          <w:szCs w:val="22"/>
        </w:rPr>
        <w:t>door te beleggen in een zogenoemde flits-</w:t>
      </w:r>
      <w:proofErr w:type="spellStart"/>
      <w:r>
        <w:rPr>
          <w:rFonts w:ascii="Garamond" w:hAnsi="Garamond"/>
          <w:sz w:val="22"/>
          <w:szCs w:val="22"/>
        </w:rPr>
        <w:t>v</w:t>
      </w:r>
      <w:r w:rsidRPr="00F10888">
        <w:rPr>
          <w:rFonts w:ascii="Garamond" w:hAnsi="Garamond"/>
          <w:sz w:val="22"/>
          <w:szCs w:val="22"/>
        </w:rPr>
        <w:t>bi</w:t>
      </w:r>
      <w:proofErr w:type="spellEnd"/>
      <w:r w:rsidRPr="00F10888">
        <w:rPr>
          <w:rFonts w:ascii="Garamond" w:hAnsi="Garamond"/>
          <w:sz w:val="22"/>
          <w:szCs w:val="22"/>
        </w:rPr>
        <w:t>. Daarom stelt het</w:t>
      </w:r>
      <w:r>
        <w:rPr>
          <w:rFonts w:ascii="Garamond" w:hAnsi="Garamond"/>
          <w:sz w:val="22"/>
          <w:szCs w:val="22"/>
        </w:rPr>
        <w:t xml:space="preserve"> </w:t>
      </w:r>
      <w:r w:rsidRPr="00F10888">
        <w:rPr>
          <w:rFonts w:ascii="Garamond" w:hAnsi="Garamond"/>
          <w:sz w:val="22"/>
          <w:szCs w:val="22"/>
        </w:rPr>
        <w:t xml:space="preserve">kabinet </w:t>
      </w:r>
      <w:r>
        <w:rPr>
          <w:rFonts w:ascii="Garamond" w:hAnsi="Garamond"/>
          <w:sz w:val="22"/>
          <w:szCs w:val="22"/>
        </w:rPr>
        <w:t xml:space="preserve">de volgende maatregelen voor: </w:t>
      </w:r>
    </w:p>
    <w:p w:rsidR="003B5A90" w:rsidRDefault="003B5A90" w:rsidP="00ED1401">
      <w:pPr>
        <w:pStyle w:val="Lijstalinea"/>
        <w:numPr>
          <w:ilvl w:val="0"/>
          <w:numId w:val="15"/>
        </w:numPr>
        <w:spacing w:line="240" w:lineRule="auto"/>
        <w:jc w:val="both"/>
        <w:rPr>
          <w:rFonts w:ascii="Garamond" w:hAnsi="Garamond"/>
        </w:rPr>
      </w:pPr>
      <w:proofErr w:type="gramStart"/>
      <w:r w:rsidRPr="002F7113">
        <w:rPr>
          <w:rFonts w:ascii="Garamond" w:hAnsi="Garamond"/>
        </w:rPr>
        <w:t>er</w:t>
      </w:r>
      <w:proofErr w:type="gramEnd"/>
      <w:r w:rsidRPr="002F7113">
        <w:rPr>
          <w:rFonts w:ascii="Garamond" w:hAnsi="Garamond"/>
        </w:rPr>
        <w:t xml:space="preserve"> wordt voortaan in box 2 afgerekend over de positieve </w:t>
      </w:r>
      <w:proofErr w:type="spellStart"/>
      <w:r w:rsidRPr="002F7113">
        <w:rPr>
          <w:rFonts w:ascii="Garamond" w:hAnsi="Garamond"/>
        </w:rPr>
        <w:t>ab</w:t>
      </w:r>
      <w:proofErr w:type="spellEnd"/>
      <w:r w:rsidRPr="002F7113">
        <w:rPr>
          <w:rFonts w:ascii="Garamond" w:hAnsi="Garamond"/>
        </w:rPr>
        <w:t xml:space="preserve">-claim als een lichaam waarin de belastingplichtige een </w:t>
      </w:r>
      <w:proofErr w:type="spellStart"/>
      <w:r>
        <w:rPr>
          <w:rFonts w:ascii="Garamond" w:hAnsi="Garamond"/>
        </w:rPr>
        <w:t>ab</w:t>
      </w:r>
      <w:proofErr w:type="spellEnd"/>
      <w:r w:rsidRPr="002F7113">
        <w:rPr>
          <w:rFonts w:ascii="Garamond" w:hAnsi="Garamond"/>
        </w:rPr>
        <w:t xml:space="preserve"> heeft de </w:t>
      </w:r>
      <w:proofErr w:type="spellStart"/>
      <w:r w:rsidRPr="002F7113">
        <w:rPr>
          <w:rFonts w:ascii="Garamond" w:hAnsi="Garamond"/>
        </w:rPr>
        <w:t>vbi</w:t>
      </w:r>
      <w:proofErr w:type="spellEnd"/>
      <w:r w:rsidRPr="002F7113">
        <w:rPr>
          <w:rFonts w:ascii="Garamond" w:hAnsi="Garamond"/>
        </w:rPr>
        <w:t>-status verkrijgt</w:t>
      </w:r>
      <w:r>
        <w:rPr>
          <w:rFonts w:ascii="Garamond" w:hAnsi="Garamond"/>
        </w:rPr>
        <w:t>;</w:t>
      </w:r>
    </w:p>
    <w:p w:rsidR="003B5A90" w:rsidRPr="002F7113" w:rsidRDefault="003B5A90" w:rsidP="00ED1401">
      <w:pPr>
        <w:pStyle w:val="Lijstalinea"/>
        <w:numPr>
          <w:ilvl w:val="0"/>
          <w:numId w:val="15"/>
        </w:numPr>
        <w:spacing w:line="240" w:lineRule="auto"/>
        <w:jc w:val="both"/>
        <w:rPr>
          <w:rFonts w:ascii="Garamond" w:hAnsi="Garamond"/>
        </w:rPr>
      </w:pPr>
      <w:proofErr w:type="gramStart"/>
      <w:r w:rsidRPr="002F7113">
        <w:rPr>
          <w:rFonts w:ascii="Garamond" w:hAnsi="Garamond"/>
        </w:rPr>
        <w:t>het</w:t>
      </w:r>
      <w:proofErr w:type="gramEnd"/>
      <w:r w:rsidRPr="002F7113">
        <w:rPr>
          <w:rFonts w:ascii="Garamond" w:hAnsi="Garamond"/>
        </w:rPr>
        <w:t xml:space="preserve"> box 3-vermogen dat wordt ondergebracht in een </w:t>
      </w:r>
      <w:proofErr w:type="spellStart"/>
      <w:r w:rsidRPr="002F7113">
        <w:rPr>
          <w:rFonts w:ascii="Garamond" w:hAnsi="Garamond"/>
        </w:rPr>
        <w:t>vbi</w:t>
      </w:r>
      <w:proofErr w:type="spellEnd"/>
      <w:r w:rsidRPr="002F7113">
        <w:rPr>
          <w:rFonts w:ascii="Garamond" w:hAnsi="Garamond"/>
        </w:rPr>
        <w:t xml:space="preserve"> waarin de belastingplichtige een </w:t>
      </w:r>
      <w:proofErr w:type="spellStart"/>
      <w:r w:rsidRPr="002F7113">
        <w:rPr>
          <w:rFonts w:ascii="Garamond" w:hAnsi="Garamond"/>
        </w:rPr>
        <w:t>ab</w:t>
      </w:r>
      <w:proofErr w:type="spellEnd"/>
      <w:r w:rsidRPr="002F7113">
        <w:rPr>
          <w:rFonts w:ascii="Garamond" w:hAnsi="Garamond"/>
        </w:rPr>
        <w:t xml:space="preserve"> heeft, wordt belast in box 2, maar ook in box 3 als dit vermogen bin</w:t>
      </w:r>
      <w:r w:rsidRPr="002F7113">
        <w:rPr>
          <w:rFonts w:ascii="Garamond" w:hAnsi="Garamond"/>
        </w:rPr>
        <w:lastRenderedPageBreak/>
        <w:t xml:space="preserve">nen </w:t>
      </w:r>
      <w:r>
        <w:rPr>
          <w:rFonts w:ascii="Garamond" w:hAnsi="Garamond"/>
        </w:rPr>
        <w:t>18</w:t>
      </w:r>
      <w:r w:rsidRPr="002F7113">
        <w:rPr>
          <w:rFonts w:ascii="Garamond" w:hAnsi="Garamond"/>
        </w:rPr>
        <w:t xml:space="preserve"> maanden weer terugkomt naar box 3.</w:t>
      </w:r>
    </w:p>
    <w:p w:rsidR="003B5A90" w:rsidRDefault="003B5A90" w:rsidP="00ED1401">
      <w:pPr>
        <w:pStyle w:val="Lijstalinea"/>
        <w:numPr>
          <w:ilvl w:val="0"/>
          <w:numId w:val="15"/>
        </w:numPr>
        <w:spacing w:line="240" w:lineRule="auto"/>
        <w:jc w:val="both"/>
        <w:rPr>
          <w:rFonts w:ascii="Garamond" w:hAnsi="Garamond"/>
        </w:rPr>
      </w:pPr>
      <w:proofErr w:type="gramStart"/>
      <w:r w:rsidRPr="002F7113">
        <w:rPr>
          <w:rFonts w:ascii="Garamond" w:hAnsi="Garamond"/>
        </w:rPr>
        <w:t>het</w:t>
      </w:r>
      <w:proofErr w:type="gramEnd"/>
      <w:r w:rsidRPr="002F7113">
        <w:rPr>
          <w:rFonts w:ascii="Garamond" w:hAnsi="Garamond"/>
        </w:rPr>
        <w:t xml:space="preserve"> percentage van het forfaitaire</w:t>
      </w:r>
      <w:r>
        <w:rPr>
          <w:rFonts w:ascii="Garamond" w:hAnsi="Garamond"/>
        </w:rPr>
        <w:t xml:space="preserve"> </w:t>
      </w:r>
      <w:r w:rsidRPr="002F7113">
        <w:rPr>
          <w:rFonts w:ascii="Garamond" w:hAnsi="Garamond"/>
        </w:rPr>
        <w:t xml:space="preserve">rendement uit een </w:t>
      </w:r>
      <w:proofErr w:type="spellStart"/>
      <w:r w:rsidRPr="002F7113">
        <w:rPr>
          <w:rFonts w:ascii="Garamond" w:hAnsi="Garamond"/>
        </w:rPr>
        <w:t>vbi</w:t>
      </w:r>
      <w:proofErr w:type="spellEnd"/>
      <w:r w:rsidRPr="002F7113">
        <w:rPr>
          <w:rFonts w:ascii="Garamond" w:hAnsi="Garamond"/>
        </w:rPr>
        <w:t xml:space="preserve"> </w:t>
      </w:r>
      <w:r>
        <w:rPr>
          <w:rFonts w:ascii="Garamond" w:hAnsi="Garamond"/>
        </w:rPr>
        <w:t>wordt automatisch gekoppeld aan het</w:t>
      </w:r>
      <w:r w:rsidRPr="002F7113">
        <w:rPr>
          <w:rFonts w:ascii="Garamond" w:hAnsi="Garamond"/>
        </w:rPr>
        <w:t xml:space="preserve"> voor dat jaar geldende percentage van de hoogste schijf in box 3.</w:t>
      </w:r>
    </w:p>
    <w:p w:rsidR="003B5A90" w:rsidRPr="000B6F26" w:rsidRDefault="003B5A90" w:rsidP="00ED1401">
      <w:pPr>
        <w:ind w:left="180"/>
        <w:jc w:val="both"/>
        <w:rPr>
          <w:rFonts w:ascii="Garamond" w:hAnsi="Garamond"/>
          <w:sz w:val="22"/>
          <w:szCs w:val="22"/>
        </w:rPr>
      </w:pPr>
      <w:r w:rsidRPr="000B6F26">
        <w:rPr>
          <w:rFonts w:ascii="Garamond" w:hAnsi="Garamond"/>
          <w:sz w:val="22"/>
          <w:szCs w:val="22"/>
        </w:rPr>
        <w:t>Om anticipatie op deze maatregel te voorkomen, wordt</w:t>
      </w:r>
      <w:r>
        <w:rPr>
          <w:rFonts w:ascii="Garamond" w:hAnsi="Garamond"/>
          <w:sz w:val="22"/>
          <w:szCs w:val="22"/>
        </w:rPr>
        <w:t xml:space="preserve"> </w:t>
      </w:r>
      <w:r w:rsidRPr="000B6F26">
        <w:rPr>
          <w:rFonts w:ascii="Garamond" w:hAnsi="Garamond"/>
          <w:sz w:val="22"/>
          <w:szCs w:val="22"/>
        </w:rPr>
        <w:t>voorgesteld deze maatregel</w:t>
      </w:r>
      <w:r>
        <w:rPr>
          <w:rFonts w:ascii="Garamond" w:hAnsi="Garamond"/>
          <w:sz w:val="22"/>
          <w:szCs w:val="22"/>
        </w:rPr>
        <w:t>en</w:t>
      </w:r>
      <w:r w:rsidRPr="000B6F26">
        <w:rPr>
          <w:rFonts w:ascii="Garamond" w:hAnsi="Garamond"/>
          <w:sz w:val="22"/>
          <w:szCs w:val="22"/>
        </w:rPr>
        <w:t xml:space="preserve"> met terugwerkende kracht tot en met </w:t>
      </w:r>
      <w:r>
        <w:rPr>
          <w:rFonts w:ascii="Garamond" w:hAnsi="Garamond"/>
          <w:sz w:val="22"/>
          <w:szCs w:val="22"/>
        </w:rPr>
        <w:t>20 september 2016, 15.15 uur</w:t>
      </w:r>
      <w:r w:rsidRPr="000B6F26">
        <w:rPr>
          <w:rFonts w:ascii="Garamond" w:hAnsi="Garamond"/>
          <w:sz w:val="22"/>
          <w:szCs w:val="22"/>
        </w:rPr>
        <w:t xml:space="preserve"> in werking te</w:t>
      </w:r>
      <w:r>
        <w:rPr>
          <w:rFonts w:ascii="Garamond" w:hAnsi="Garamond"/>
          <w:sz w:val="22"/>
          <w:szCs w:val="22"/>
        </w:rPr>
        <w:t xml:space="preserve"> </w:t>
      </w:r>
      <w:r w:rsidRPr="000B6F26">
        <w:rPr>
          <w:rFonts w:ascii="Garamond" w:hAnsi="Garamond"/>
          <w:sz w:val="22"/>
          <w:szCs w:val="22"/>
        </w:rPr>
        <w:t xml:space="preserve">laten treden. </w:t>
      </w:r>
    </w:p>
    <w:p w:rsidR="003B5A90" w:rsidRDefault="003B5A90" w:rsidP="003B5A90">
      <w:pPr>
        <w:ind w:left="180"/>
        <w:jc w:val="both"/>
        <w:rPr>
          <w:rFonts w:ascii="Garamond" w:hAnsi="Garamond"/>
          <w:b/>
          <w:sz w:val="22"/>
          <w:szCs w:val="22"/>
        </w:rPr>
      </w:pPr>
    </w:p>
    <w:p w:rsidR="003B5A90" w:rsidRPr="003B5A90" w:rsidRDefault="003B5A90" w:rsidP="003B5A90">
      <w:pPr>
        <w:ind w:left="180"/>
        <w:jc w:val="both"/>
        <w:rPr>
          <w:rFonts w:ascii="Syntax-Roman" w:hAnsi="Syntax-Roman"/>
          <w:b/>
          <w:sz w:val="22"/>
          <w:szCs w:val="22"/>
        </w:rPr>
      </w:pPr>
      <w:r w:rsidRPr="003B5A90">
        <w:rPr>
          <w:rFonts w:ascii="Syntax-Roman" w:hAnsi="Syntax-Roman"/>
          <w:b/>
          <w:sz w:val="22"/>
          <w:szCs w:val="22"/>
        </w:rPr>
        <w:t>Let op!</w:t>
      </w:r>
    </w:p>
    <w:p w:rsidR="003B5A90" w:rsidRPr="003B5A90" w:rsidRDefault="003B5A90" w:rsidP="003B5A90">
      <w:pPr>
        <w:ind w:left="180"/>
        <w:jc w:val="both"/>
        <w:rPr>
          <w:rFonts w:ascii="Syntax-Roman" w:hAnsi="Syntax-Roman"/>
          <w:b/>
          <w:sz w:val="22"/>
          <w:szCs w:val="22"/>
        </w:rPr>
      </w:pPr>
      <w:r w:rsidRPr="003B5A90">
        <w:rPr>
          <w:rFonts w:ascii="Syntax-Roman" w:hAnsi="Syntax-Roman"/>
          <w:b/>
          <w:sz w:val="22"/>
          <w:szCs w:val="22"/>
        </w:rPr>
        <w:t>Deze maatregelen gelden ook voor vermogen dat in een dergelijk buitenlands beleggingslichaam wordt ondergebracht.</w:t>
      </w:r>
    </w:p>
    <w:p w:rsidR="003B5A90" w:rsidRPr="003B5A90" w:rsidRDefault="003B5A90" w:rsidP="003B5A90">
      <w:pPr>
        <w:ind w:left="180"/>
        <w:jc w:val="both"/>
        <w:rPr>
          <w:rFonts w:ascii="Syntax-Roman" w:hAnsi="Syntax-Roman"/>
          <w:b/>
          <w:sz w:val="22"/>
          <w:szCs w:val="22"/>
        </w:rPr>
      </w:pPr>
    </w:p>
    <w:p w:rsidR="003B5A90" w:rsidRPr="003B5A90" w:rsidRDefault="003B5A90" w:rsidP="003B5A90">
      <w:pPr>
        <w:ind w:left="180"/>
        <w:jc w:val="both"/>
        <w:rPr>
          <w:rFonts w:ascii="Syntax-Roman" w:hAnsi="Syntax-Roman"/>
          <w:b/>
          <w:sz w:val="22"/>
          <w:szCs w:val="22"/>
        </w:rPr>
      </w:pPr>
      <w:r w:rsidRPr="003B5A90">
        <w:rPr>
          <w:rFonts w:ascii="Syntax-Roman" w:hAnsi="Syntax-Roman"/>
          <w:b/>
          <w:sz w:val="22"/>
          <w:szCs w:val="22"/>
        </w:rPr>
        <w:t>Tip</w:t>
      </w:r>
    </w:p>
    <w:p w:rsidR="003B5A90" w:rsidRPr="006C6812" w:rsidRDefault="003B5A90" w:rsidP="003B5A90">
      <w:pPr>
        <w:ind w:left="180"/>
        <w:jc w:val="both"/>
        <w:rPr>
          <w:rFonts w:ascii="Garamond" w:hAnsi="Garamond"/>
          <w:b/>
          <w:sz w:val="22"/>
          <w:szCs w:val="22"/>
        </w:rPr>
      </w:pPr>
      <w:r w:rsidRPr="003B5A90">
        <w:rPr>
          <w:rFonts w:ascii="Syntax-Roman" w:hAnsi="Syntax-Roman"/>
          <w:b/>
          <w:sz w:val="22"/>
          <w:szCs w:val="22"/>
        </w:rPr>
        <w:t>Er komt wel een tegenbewijsregel zodat geen dubbele belastingheffing plaatsvindt. De belastingplichtige moet dan aannemelijk kunnen maken dat er een zakelijke reden was om het vermogen binnen achttien maanden weer terug te halen naar box 3.</w:t>
      </w:r>
    </w:p>
    <w:p w:rsidR="003B5A90" w:rsidRDefault="003B5A90" w:rsidP="003B5A90">
      <w:pPr>
        <w:jc w:val="both"/>
        <w:rPr>
          <w:rFonts w:ascii="Syntax-Roman" w:hAnsi="Syntax-Roman"/>
          <w:b/>
          <w:sz w:val="22"/>
        </w:rPr>
      </w:pPr>
    </w:p>
    <w:p w:rsidR="003B5A90" w:rsidRPr="004B044E" w:rsidRDefault="003B5A90" w:rsidP="003B5A90">
      <w:pPr>
        <w:ind w:left="180"/>
        <w:jc w:val="both"/>
        <w:rPr>
          <w:rFonts w:ascii="Syntax-Roman" w:hAnsi="Syntax-Roman"/>
          <w:b/>
          <w:sz w:val="22"/>
        </w:rPr>
      </w:pPr>
      <w:proofErr w:type="spellStart"/>
      <w:r>
        <w:rPr>
          <w:rFonts w:ascii="Syntax-Roman" w:hAnsi="Syntax-Roman"/>
          <w:b/>
          <w:sz w:val="22"/>
        </w:rPr>
        <w:t>Toerekeningsstop</w:t>
      </w:r>
      <w:proofErr w:type="spellEnd"/>
      <w:r>
        <w:rPr>
          <w:rFonts w:ascii="Syntax-Roman" w:hAnsi="Syntax-Roman"/>
          <w:b/>
          <w:sz w:val="22"/>
        </w:rPr>
        <w:t xml:space="preserve"> alleen voor actieve APV</w:t>
      </w:r>
    </w:p>
    <w:p w:rsidR="003B5A90" w:rsidRPr="004B044E" w:rsidRDefault="003B5A90" w:rsidP="003B5A90">
      <w:pPr>
        <w:ind w:left="180"/>
        <w:jc w:val="both"/>
        <w:rPr>
          <w:rFonts w:ascii="Garamond" w:hAnsi="Garamond"/>
          <w:sz w:val="22"/>
          <w:szCs w:val="22"/>
        </w:rPr>
      </w:pPr>
      <w:r>
        <w:rPr>
          <w:rFonts w:ascii="Garamond" w:hAnsi="Garamond"/>
          <w:sz w:val="22"/>
          <w:szCs w:val="22"/>
        </w:rPr>
        <w:t xml:space="preserve">De </w:t>
      </w:r>
      <w:proofErr w:type="spellStart"/>
      <w:r>
        <w:rPr>
          <w:rFonts w:ascii="Garamond" w:hAnsi="Garamond"/>
          <w:sz w:val="22"/>
          <w:szCs w:val="22"/>
        </w:rPr>
        <w:t>toerekeningsstop</w:t>
      </w:r>
      <w:proofErr w:type="spellEnd"/>
      <w:r>
        <w:rPr>
          <w:rFonts w:ascii="Garamond" w:hAnsi="Garamond"/>
          <w:sz w:val="22"/>
          <w:szCs w:val="22"/>
        </w:rPr>
        <w:t xml:space="preserve"> in de regeling voor afgezonderde particulieren vermogens (</w:t>
      </w:r>
      <w:proofErr w:type="spellStart"/>
      <w:r>
        <w:rPr>
          <w:rFonts w:ascii="Garamond" w:hAnsi="Garamond"/>
          <w:sz w:val="22"/>
          <w:szCs w:val="22"/>
        </w:rPr>
        <w:t>APV’s</w:t>
      </w:r>
      <w:proofErr w:type="spellEnd"/>
      <w:r>
        <w:rPr>
          <w:rFonts w:ascii="Garamond" w:hAnsi="Garamond"/>
          <w:sz w:val="22"/>
          <w:szCs w:val="22"/>
        </w:rPr>
        <w:t xml:space="preserve">), zoals trusts, is bedoeld om dubbele belastingheffing te voorkomen. Maar in de praktijk wordt deze bepaling steeds meer als route gebruikt om toerekening aan de inbrenger van vermogen te voorkomen, terwijl in het buitenland effectief geen (winst)belasting is geheven. Het kabinet wil de </w:t>
      </w:r>
      <w:proofErr w:type="spellStart"/>
      <w:r>
        <w:rPr>
          <w:rFonts w:ascii="Garamond" w:hAnsi="Garamond"/>
          <w:sz w:val="22"/>
          <w:szCs w:val="22"/>
        </w:rPr>
        <w:t>toerekeningsstop</w:t>
      </w:r>
      <w:proofErr w:type="spellEnd"/>
      <w:r>
        <w:rPr>
          <w:rFonts w:ascii="Garamond" w:hAnsi="Garamond"/>
          <w:sz w:val="22"/>
          <w:szCs w:val="22"/>
        </w:rPr>
        <w:t xml:space="preserve"> om die reden alleen laten gelden voor </w:t>
      </w:r>
      <w:proofErr w:type="spellStart"/>
      <w:r>
        <w:rPr>
          <w:rFonts w:ascii="Garamond" w:hAnsi="Garamond"/>
          <w:sz w:val="22"/>
          <w:szCs w:val="22"/>
        </w:rPr>
        <w:t>APV’s</w:t>
      </w:r>
      <w:proofErr w:type="spellEnd"/>
      <w:r>
        <w:rPr>
          <w:rFonts w:ascii="Garamond" w:hAnsi="Garamond"/>
          <w:sz w:val="22"/>
          <w:szCs w:val="22"/>
        </w:rPr>
        <w:t xml:space="preserve"> voor zover die een reële, actieve onderneming drijven. Het op relatief eenvoudige wijze opzoeken van de </w:t>
      </w:r>
      <w:proofErr w:type="spellStart"/>
      <w:r>
        <w:rPr>
          <w:rFonts w:ascii="Garamond" w:hAnsi="Garamond"/>
          <w:sz w:val="22"/>
          <w:szCs w:val="22"/>
        </w:rPr>
        <w:t>toerekeningsstop</w:t>
      </w:r>
      <w:proofErr w:type="spellEnd"/>
      <w:r>
        <w:rPr>
          <w:rFonts w:ascii="Garamond" w:hAnsi="Garamond"/>
          <w:sz w:val="22"/>
          <w:szCs w:val="22"/>
        </w:rPr>
        <w:t xml:space="preserve"> via een passieve APV die als houdstermaatschappij fungeert, biedt straks dus geen soelaas meer. Daarnaast worden in het Besluit ter voorkoming van dubbele belasting aanvullende voorkomingsregelingen opgenomen om bij de Nederlandse belastingheffing van de inbrenger rekening te houden met de daadwerkelijk in het buitenland betaalde belasting. </w:t>
      </w:r>
    </w:p>
    <w:p w:rsidR="003B5A90" w:rsidRPr="001D6A1C" w:rsidRDefault="003B5A90" w:rsidP="003B5A90">
      <w:pPr>
        <w:ind w:left="180"/>
        <w:jc w:val="both"/>
        <w:rPr>
          <w:rFonts w:ascii="Garamond" w:hAnsi="Garamond"/>
          <w:sz w:val="22"/>
        </w:rPr>
      </w:pPr>
    </w:p>
    <w:p w:rsidR="003B5A90" w:rsidRDefault="003B5A90" w:rsidP="003B5A90">
      <w:pPr>
        <w:ind w:left="180"/>
        <w:jc w:val="both"/>
        <w:rPr>
          <w:rFonts w:ascii="Syntax-Roman" w:hAnsi="Syntax-Roman"/>
          <w:b/>
          <w:sz w:val="22"/>
          <w:szCs w:val="22"/>
        </w:rPr>
      </w:pPr>
      <w:r>
        <w:rPr>
          <w:rFonts w:ascii="Syntax-Roman" w:hAnsi="Syntax-Roman"/>
          <w:b/>
          <w:sz w:val="22"/>
          <w:szCs w:val="22"/>
        </w:rPr>
        <w:t>Let op!</w:t>
      </w:r>
    </w:p>
    <w:p w:rsidR="003B5A90" w:rsidRDefault="003B5A90" w:rsidP="003B5A90">
      <w:pPr>
        <w:ind w:left="180"/>
        <w:jc w:val="both"/>
        <w:rPr>
          <w:rFonts w:ascii="Syntax-Roman" w:hAnsi="Syntax-Roman"/>
          <w:b/>
          <w:sz w:val="22"/>
          <w:szCs w:val="22"/>
        </w:rPr>
      </w:pPr>
      <w:r>
        <w:rPr>
          <w:rFonts w:ascii="Syntax-Roman" w:hAnsi="Syntax-Roman"/>
          <w:b/>
          <w:sz w:val="22"/>
          <w:szCs w:val="22"/>
        </w:rPr>
        <w:t xml:space="preserve">Als voorwaarde voor de toepassing van </w:t>
      </w:r>
      <w:proofErr w:type="gramStart"/>
      <w:r>
        <w:rPr>
          <w:rFonts w:ascii="Syntax-Roman" w:hAnsi="Syntax-Roman"/>
          <w:b/>
          <w:sz w:val="22"/>
          <w:szCs w:val="22"/>
        </w:rPr>
        <w:t xml:space="preserve">de </w:t>
      </w:r>
      <w:r w:rsidRPr="006C6812">
        <w:rPr>
          <w:rFonts w:ascii="Syntax-Roman" w:hAnsi="Syntax-Roman"/>
          <w:b/>
          <w:sz w:val="22"/>
          <w:szCs w:val="22"/>
        </w:rPr>
        <w:t xml:space="preserve"> </w:t>
      </w:r>
      <w:proofErr w:type="spellStart"/>
      <w:r w:rsidRPr="006C6812">
        <w:rPr>
          <w:rFonts w:ascii="Syntax-Roman" w:hAnsi="Syntax-Roman"/>
          <w:b/>
          <w:sz w:val="22"/>
          <w:szCs w:val="22"/>
        </w:rPr>
        <w:t>toerekeningsstop</w:t>
      </w:r>
      <w:proofErr w:type="spellEnd"/>
      <w:proofErr w:type="gramEnd"/>
      <w:r w:rsidRPr="006C6812">
        <w:rPr>
          <w:rFonts w:ascii="Syntax-Roman" w:hAnsi="Syntax-Roman"/>
          <w:b/>
          <w:sz w:val="22"/>
          <w:szCs w:val="22"/>
        </w:rPr>
        <w:t xml:space="preserve"> </w:t>
      </w:r>
      <w:r>
        <w:rPr>
          <w:rFonts w:ascii="Syntax-Roman" w:hAnsi="Syntax-Roman"/>
          <w:b/>
          <w:sz w:val="22"/>
          <w:szCs w:val="22"/>
        </w:rPr>
        <w:t xml:space="preserve">blijft dus nog steeds gelden dat de </w:t>
      </w:r>
      <w:r w:rsidRPr="006C6812">
        <w:rPr>
          <w:rFonts w:ascii="Syntax-Roman" w:hAnsi="Syntax-Roman"/>
          <w:b/>
          <w:sz w:val="22"/>
          <w:szCs w:val="22"/>
        </w:rPr>
        <w:t>APV zelf in een naar</w:t>
      </w:r>
      <w:r>
        <w:rPr>
          <w:rFonts w:ascii="Syntax-Roman" w:hAnsi="Syntax-Roman"/>
          <w:b/>
          <w:sz w:val="22"/>
          <w:szCs w:val="22"/>
        </w:rPr>
        <w:t xml:space="preserve"> </w:t>
      </w:r>
      <w:r w:rsidRPr="006C6812">
        <w:rPr>
          <w:rFonts w:ascii="Syntax-Roman" w:hAnsi="Syntax-Roman"/>
          <w:b/>
          <w:sz w:val="22"/>
          <w:szCs w:val="22"/>
        </w:rPr>
        <w:t xml:space="preserve">Nederlandse maatstaven </w:t>
      </w:r>
      <w:r w:rsidRPr="005D16B5">
        <w:rPr>
          <w:rFonts w:ascii="Syntax-Roman" w:hAnsi="Syntax-Roman"/>
          <w:b/>
          <w:sz w:val="22"/>
          <w:szCs w:val="22"/>
          <w:u w:val="single"/>
        </w:rPr>
        <w:t>reële</w:t>
      </w:r>
      <w:r w:rsidRPr="006C6812">
        <w:rPr>
          <w:rFonts w:ascii="Syntax-Roman" w:hAnsi="Syntax-Roman"/>
          <w:b/>
          <w:sz w:val="22"/>
          <w:szCs w:val="22"/>
        </w:rPr>
        <w:t xml:space="preserve"> heffing naar de winst wordt betrokken (van ten minste 10% over</w:t>
      </w:r>
      <w:r>
        <w:rPr>
          <w:rFonts w:ascii="Syntax-Roman" w:hAnsi="Syntax-Roman"/>
          <w:b/>
          <w:sz w:val="22"/>
          <w:szCs w:val="22"/>
        </w:rPr>
        <w:t xml:space="preserve"> </w:t>
      </w:r>
      <w:r w:rsidRPr="006C6812">
        <w:rPr>
          <w:rFonts w:ascii="Syntax-Roman" w:hAnsi="Syntax-Roman"/>
          <w:b/>
          <w:sz w:val="22"/>
          <w:szCs w:val="22"/>
        </w:rPr>
        <w:t>een vergelijkbare grondslag).</w:t>
      </w:r>
      <w:r>
        <w:rPr>
          <w:rFonts w:ascii="Syntax-Roman" w:hAnsi="Syntax-Roman"/>
          <w:b/>
          <w:sz w:val="22"/>
          <w:szCs w:val="22"/>
        </w:rPr>
        <w:t xml:space="preserve"> </w:t>
      </w:r>
    </w:p>
    <w:p w:rsidR="003B5A90" w:rsidRDefault="003B5A90" w:rsidP="003B5A90">
      <w:pPr>
        <w:ind w:left="180"/>
        <w:jc w:val="both"/>
        <w:rPr>
          <w:rFonts w:ascii="Syntax-Roman" w:hAnsi="Syntax-Roman"/>
          <w:b/>
          <w:sz w:val="22"/>
          <w:szCs w:val="22"/>
        </w:rPr>
      </w:pPr>
    </w:p>
    <w:p w:rsidR="003B5A90" w:rsidRDefault="003B5A90" w:rsidP="003B5A90">
      <w:pPr>
        <w:ind w:left="180"/>
        <w:jc w:val="both"/>
        <w:rPr>
          <w:rFonts w:ascii="Syntax-Roman" w:hAnsi="Syntax-Roman"/>
          <w:b/>
          <w:sz w:val="22"/>
        </w:rPr>
      </w:pPr>
      <w:r>
        <w:rPr>
          <w:rFonts w:ascii="Syntax-Roman" w:hAnsi="Syntax-Roman"/>
          <w:b/>
          <w:sz w:val="22"/>
        </w:rPr>
        <w:t>Reparatie BOR-arrest klein indirect belang</w:t>
      </w:r>
    </w:p>
    <w:p w:rsidR="003B5A90" w:rsidRDefault="003B5A90" w:rsidP="003B5A90">
      <w:pPr>
        <w:ind w:left="180"/>
        <w:jc w:val="both"/>
        <w:rPr>
          <w:rFonts w:ascii="Garamond" w:hAnsi="Garamond"/>
          <w:sz w:val="22"/>
          <w:szCs w:val="22"/>
        </w:rPr>
      </w:pPr>
      <w:r>
        <w:rPr>
          <w:rFonts w:ascii="Garamond" w:hAnsi="Garamond"/>
          <w:sz w:val="22"/>
          <w:szCs w:val="22"/>
        </w:rPr>
        <w:t>E</w:t>
      </w:r>
      <w:r w:rsidRPr="00630B57">
        <w:rPr>
          <w:rFonts w:ascii="Garamond" w:hAnsi="Garamond"/>
          <w:sz w:val="22"/>
          <w:szCs w:val="22"/>
        </w:rPr>
        <w:t xml:space="preserve">en indirect aanmerkelijk belang </w:t>
      </w:r>
      <w:r>
        <w:rPr>
          <w:rFonts w:ascii="Garamond" w:hAnsi="Garamond"/>
          <w:sz w:val="22"/>
          <w:szCs w:val="22"/>
        </w:rPr>
        <w:t xml:space="preserve">van een erflater of schenker dat bij hem geen aanmerkelijk belang </w:t>
      </w:r>
      <w:r w:rsidRPr="00630B57">
        <w:rPr>
          <w:rFonts w:ascii="Garamond" w:hAnsi="Garamond"/>
          <w:sz w:val="22"/>
          <w:szCs w:val="22"/>
        </w:rPr>
        <w:t>vormt</w:t>
      </w:r>
      <w:r>
        <w:rPr>
          <w:rFonts w:ascii="Garamond" w:hAnsi="Garamond"/>
          <w:sz w:val="22"/>
          <w:szCs w:val="22"/>
        </w:rPr>
        <w:t xml:space="preserve"> (het belang is dus kleiner dan 5%)</w:t>
      </w:r>
      <w:r w:rsidRPr="00630B57">
        <w:rPr>
          <w:rFonts w:ascii="Garamond" w:hAnsi="Garamond"/>
          <w:sz w:val="22"/>
          <w:szCs w:val="22"/>
        </w:rPr>
        <w:t>,</w:t>
      </w:r>
      <w:r>
        <w:rPr>
          <w:rFonts w:ascii="Garamond" w:hAnsi="Garamond"/>
          <w:sz w:val="22"/>
          <w:szCs w:val="22"/>
        </w:rPr>
        <w:t xml:space="preserve"> kan volgens de hoogste belastingrechter </w:t>
      </w:r>
      <w:r w:rsidRPr="00630B57">
        <w:rPr>
          <w:rFonts w:ascii="Garamond" w:hAnsi="Garamond"/>
          <w:sz w:val="22"/>
          <w:szCs w:val="22"/>
        </w:rPr>
        <w:t>onder omstandigheden toch kwalificeren voor de</w:t>
      </w:r>
      <w:r>
        <w:rPr>
          <w:rFonts w:ascii="Garamond" w:hAnsi="Garamond"/>
          <w:sz w:val="22"/>
          <w:szCs w:val="22"/>
        </w:rPr>
        <w:t xml:space="preserve"> bedrijfsopvolgingsfaciliteit (</w:t>
      </w:r>
      <w:r w:rsidRPr="00630B57">
        <w:rPr>
          <w:rFonts w:ascii="Garamond" w:hAnsi="Garamond"/>
          <w:sz w:val="22"/>
          <w:szCs w:val="22"/>
        </w:rPr>
        <w:t>BOR</w:t>
      </w:r>
      <w:r>
        <w:rPr>
          <w:rFonts w:ascii="Garamond" w:hAnsi="Garamond"/>
          <w:sz w:val="22"/>
          <w:szCs w:val="22"/>
        </w:rPr>
        <w:t>) in de Successiewet</w:t>
      </w:r>
      <w:r w:rsidRPr="00630B57">
        <w:rPr>
          <w:rFonts w:ascii="Garamond" w:hAnsi="Garamond"/>
          <w:sz w:val="22"/>
          <w:szCs w:val="22"/>
        </w:rPr>
        <w:t>. Dit is b</w:t>
      </w:r>
      <w:bookmarkStart w:id="0" w:name="_GoBack"/>
      <w:bookmarkEnd w:id="0"/>
      <w:r w:rsidRPr="00630B57">
        <w:rPr>
          <w:rFonts w:ascii="Garamond" w:hAnsi="Garamond"/>
          <w:sz w:val="22"/>
          <w:szCs w:val="22"/>
        </w:rPr>
        <w:t xml:space="preserve">ijvoorbeeld het geval </w:t>
      </w:r>
      <w:r>
        <w:rPr>
          <w:rFonts w:ascii="Garamond" w:hAnsi="Garamond"/>
          <w:sz w:val="22"/>
          <w:szCs w:val="22"/>
        </w:rPr>
        <w:t>als</w:t>
      </w:r>
      <w:r w:rsidRPr="00630B57">
        <w:rPr>
          <w:rFonts w:ascii="Garamond" w:hAnsi="Garamond"/>
          <w:sz w:val="22"/>
          <w:szCs w:val="22"/>
        </w:rPr>
        <w:t xml:space="preserve"> het</w:t>
      </w:r>
      <w:r>
        <w:rPr>
          <w:rFonts w:ascii="Garamond" w:hAnsi="Garamond"/>
          <w:sz w:val="22"/>
          <w:szCs w:val="22"/>
        </w:rPr>
        <w:t xml:space="preserve"> </w:t>
      </w:r>
      <w:r w:rsidRPr="00630B57">
        <w:rPr>
          <w:rFonts w:ascii="Garamond" w:hAnsi="Garamond"/>
          <w:sz w:val="22"/>
          <w:szCs w:val="22"/>
        </w:rPr>
        <w:t xml:space="preserve">houden van dat belang past binnen de ondernemingsactiviteiten van de holding en het belang </w:t>
      </w:r>
      <w:r>
        <w:rPr>
          <w:rFonts w:ascii="Garamond" w:hAnsi="Garamond"/>
          <w:sz w:val="22"/>
          <w:szCs w:val="22"/>
        </w:rPr>
        <w:t>op grond van de regels van vermogensetikettering wordt gezien</w:t>
      </w:r>
      <w:r w:rsidRPr="00630B57">
        <w:rPr>
          <w:rFonts w:ascii="Garamond" w:hAnsi="Garamond"/>
          <w:sz w:val="22"/>
          <w:szCs w:val="22"/>
        </w:rPr>
        <w:t xml:space="preserve"> als </w:t>
      </w:r>
      <w:r>
        <w:rPr>
          <w:rFonts w:ascii="Garamond" w:hAnsi="Garamond"/>
          <w:sz w:val="22"/>
          <w:szCs w:val="22"/>
        </w:rPr>
        <w:t xml:space="preserve">een </w:t>
      </w:r>
      <w:r w:rsidRPr="00630B57">
        <w:rPr>
          <w:rFonts w:ascii="Garamond" w:hAnsi="Garamond"/>
          <w:sz w:val="22"/>
          <w:szCs w:val="22"/>
        </w:rPr>
        <w:t>bedrijfs</w:t>
      </w:r>
      <w:r>
        <w:rPr>
          <w:rFonts w:ascii="Garamond" w:hAnsi="Garamond"/>
          <w:sz w:val="22"/>
          <w:szCs w:val="22"/>
        </w:rPr>
        <w:t xml:space="preserve">middel. Hierdoor worden naast ondernemingsvermogen dus ook beleggingsvermogen onder het bereik van de BOR en de doorschuifregelingen in de Wet inkomstenbelasting gebracht. Om deze ingrijpende gevolgen te </w:t>
      </w:r>
      <w:proofErr w:type="gramStart"/>
      <w:r>
        <w:rPr>
          <w:rFonts w:ascii="Garamond" w:hAnsi="Garamond"/>
          <w:sz w:val="22"/>
          <w:szCs w:val="22"/>
        </w:rPr>
        <w:t>repareren  wil</w:t>
      </w:r>
      <w:proofErr w:type="gramEnd"/>
      <w:r>
        <w:rPr>
          <w:rFonts w:ascii="Garamond" w:hAnsi="Garamond"/>
          <w:sz w:val="22"/>
          <w:szCs w:val="22"/>
        </w:rPr>
        <w:t xml:space="preserve"> het kabinet in de wet opnemen dat indirecte belangen van 5% of minder in beginsel, net als directe belangen van 5% minder, niet onder de BOR vallen. In de Wet inkomstenbelasting </w:t>
      </w:r>
      <w:proofErr w:type="gramStart"/>
      <w:r>
        <w:rPr>
          <w:rFonts w:ascii="Garamond" w:hAnsi="Garamond"/>
          <w:sz w:val="22"/>
          <w:szCs w:val="22"/>
        </w:rPr>
        <w:t xml:space="preserve">worden  </w:t>
      </w:r>
      <w:r w:rsidRPr="00A066B3">
        <w:rPr>
          <w:rFonts w:ascii="Garamond" w:hAnsi="Garamond"/>
          <w:sz w:val="22"/>
          <w:szCs w:val="22"/>
        </w:rPr>
        <w:t>indirecte</w:t>
      </w:r>
      <w:proofErr w:type="gramEnd"/>
      <w:r w:rsidRPr="00A066B3">
        <w:rPr>
          <w:rFonts w:ascii="Garamond" w:hAnsi="Garamond"/>
          <w:sz w:val="22"/>
          <w:szCs w:val="22"/>
        </w:rPr>
        <w:t xml:space="preserve"> belangen uitgeslote</w:t>
      </w:r>
      <w:r>
        <w:rPr>
          <w:rFonts w:ascii="Garamond" w:hAnsi="Garamond"/>
          <w:sz w:val="22"/>
          <w:szCs w:val="22"/>
        </w:rPr>
        <w:t>n</w:t>
      </w:r>
      <w:r w:rsidRPr="00A066B3">
        <w:rPr>
          <w:rFonts w:ascii="Garamond" w:hAnsi="Garamond"/>
          <w:sz w:val="22"/>
          <w:szCs w:val="22"/>
        </w:rPr>
        <w:t xml:space="preserve"> als ondernemingsvermogen voor</w:t>
      </w:r>
      <w:r>
        <w:rPr>
          <w:rFonts w:ascii="Garamond" w:hAnsi="Garamond"/>
          <w:sz w:val="22"/>
          <w:szCs w:val="22"/>
        </w:rPr>
        <w:t xml:space="preserve"> </w:t>
      </w:r>
      <w:r w:rsidRPr="00A066B3">
        <w:rPr>
          <w:rFonts w:ascii="Garamond" w:hAnsi="Garamond"/>
          <w:sz w:val="22"/>
          <w:szCs w:val="22"/>
        </w:rPr>
        <w:t>de doorschuifregelingen en wordt met betrekking tot die belangen dus niet toegekomen aan de</w:t>
      </w:r>
      <w:r>
        <w:rPr>
          <w:rFonts w:ascii="Garamond" w:hAnsi="Garamond"/>
          <w:sz w:val="22"/>
          <w:szCs w:val="22"/>
        </w:rPr>
        <w:t xml:space="preserve"> </w:t>
      </w:r>
      <w:r w:rsidRPr="00A066B3">
        <w:rPr>
          <w:rFonts w:ascii="Garamond" w:hAnsi="Garamond"/>
          <w:sz w:val="22"/>
          <w:szCs w:val="22"/>
        </w:rPr>
        <w:t xml:space="preserve">toepassing van de leer van de vermogensetikettering. </w:t>
      </w:r>
    </w:p>
    <w:p w:rsidR="003B5A90" w:rsidRDefault="003B5A90" w:rsidP="003B5A90">
      <w:pPr>
        <w:ind w:left="180"/>
        <w:jc w:val="both"/>
        <w:rPr>
          <w:rFonts w:ascii="Garamond" w:hAnsi="Garamond"/>
          <w:b/>
          <w:sz w:val="22"/>
          <w:szCs w:val="22"/>
        </w:rPr>
      </w:pPr>
    </w:p>
    <w:p w:rsidR="003B5A90" w:rsidRPr="003B5A90" w:rsidRDefault="003B5A90" w:rsidP="003B5A90">
      <w:pPr>
        <w:ind w:left="180"/>
        <w:jc w:val="both"/>
        <w:rPr>
          <w:rFonts w:ascii="Syntax-Roman" w:hAnsi="Syntax-Roman"/>
          <w:b/>
          <w:sz w:val="22"/>
          <w:szCs w:val="22"/>
        </w:rPr>
      </w:pPr>
      <w:r w:rsidRPr="003B5A90">
        <w:rPr>
          <w:rFonts w:ascii="Syntax-Roman" w:hAnsi="Syntax-Roman"/>
          <w:b/>
          <w:sz w:val="22"/>
          <w:szCs w:val="22"/>
        </w:rPr>
        <w:t>Let op!</w:t>
      </w:r>
    </w:p>
    <w:p w:rsidR="00C264EE" w:rsidRPr="003B5A90" w:rsidRDefault="003B5A90" w:rsidP="003B5A90">
      <w:pPr>
        <w:ind w:left="180"/>
        <w:jc w:val="both"/>
        <w:rPr>
          <w:rFonts w:ascii="Syntax-Roman" w:hAnsi="Syntax-Roman"/>
          <w:b/>
          <w:sz w:val="22"/>
          <w:szCs w:val="22"/>
        </w:rPr>
      </w:pPr>
      <w:r w:rsidRPr="003B5A90">
        <w:rPr>
          <w:rFonts w:ascii="Syntax-Roman" w:hAnsi="Syntax-Roman"/>
          <w:b/>
          <w:sz w:val="22"/>
          <w:szCs w:val="22"/>
        </w:rPr>
        <w:t>De gevolgen van het arrest worden gerepareerd met terugwerkende kracht tot en met het tijdstip waarop deze wijzigingen bij persbericht bekend zijn gemaakt, dus tot en met 1 juli 2016, 0.00 uur.</w:t>
      </w:r>
    </w:p>
    <w:p w:rsidR="003B5A90" w:rsidRDefault="003B5A90" w:rsidP="00C264EE">
      <w:pPr>
        <w:ind w:left="180"/>
        <w:jc w:val="both"/>
        <w:rPr>
          <w:rFonts w:ascii="Syntax-Roman" w:hAnsi="Syntax-Roman"/>
          <w:b/>
          <w:sz w:val="22"/>
          <w:szCs w:val="22"/>
        </w:rPr>
      </w:pPr>
    </w:p>
    <w:p w:rsidR="006A52E6" w:rsidRDefault="006A52E6" w:rsidP="006A52E6">
      <w:pPr>
        <w:ind w:left="180"/>
        <w:jc w:val="both"/>
        <w:rPr>
          <w:rFonts w:ascii="Syntax-Roman" w:hAnsi="Syntax-Roman"/>
          <w:b/>
          <w:sz w:val="22"/>
          <w:szCs w:val="22"/>
        </w:rPr>
      </w:pPr>
      <w:r w:rsidRPr="006A13EA">
        <w:rPr>
          <w:rFonts w:ascii="Syntax-Roman" w:hAnsi="Syntax-Roman"/>
          <w:b/>
          <w:sz w:val="22"/>
          <w:szCs w:val="22"/>
        </w:rPr>
        <w:t xml:space="preserve">MAATREGELEN </w:t>
      </w:r>
      <w:r>
        <w:rPr>
          <w:rFonts w:ascii="Syntax-Roman" w:hAnsi="Syntax-Roman"/>
          <w:b/>
          <w:sz w:val="22"/>
          <w:szCs w:val="22"/>
        </w:rPr>
        <w:t>INTERNATIONALE SITUATIES</w:t>
      </w:r>
    </w:p>
    <w:p w:rsidR="003B5A90" w:rsidRDefault="003B5A90" w:rsidP="003B5A90">
      <w:pPr>
        <w:ind w:left="180"/>
        <w:jc w:val="both"/>
        <w:rPr>
          <w:rFonts w:ascii="Syntax-Roman" w:hAnsi="Syntax-Roman"/>
          <w:b/>
          <w:sz w:val="22"/>
          <w:szCs w:val="22"/>
        </w:rPr>
      </w:pPr>
    </w:p>
    <w:p w:rsidR="003B5A90" w:rsidRPr="006A13EA" w:rsidRDefault="003B5A90" w:rsidP="003B5A90">
      <w:pPr>
        <w:ind w:left="180"/>
        <w:jc w:val="both"/>
        <w:rPr>
          <w:rFonts w:ascii="Syntax-Roman" w:hAnsi="Syntax-Roman"/>
          <w:b/>
          <w:sz w:val="22"/>
          <w:szCs w:val="22"/>
        </w:rPr>
      </w:pPr>
      <w:r>
        <w:rPr>
          <w:rFonts w:ascii="Syntax-Roman" w:hAnsi="Syntax-Roman"/>
          <w:b/>
          <w:sz w:val="22"/>
          <w:szCs w:val="22"/>
        </w:rPr>
        <w:t>Teruggaaf dividendbelasting</w:t>
      </w:r>
    </w:p>
    <w:p w:rsidR="003B5A90" w:rsidRDefault="003B5A90" w:rsidP="003B5A90">
      <w:pPr>
        <w:ind w:left="180"/>
        <w:jc w:val="both"/>
        <w:rPr>
          <w:rFonts w:ascii="Garamond" w:hAnsi="Garamond"/>
          <w:sz w:val="22"/>
          <w:szCs w:val="22"/>
        </w:rPr>
      </w:pPr>
      <w:r>
        <w:rPr>
          <w:rFonts w:ascii="Garamond" w:hAnsi="Garamond"/>
          <w:sz w:val="22"/>
          <w:szCs w:val="22"/>
        </w:rPr>
        <w:t>Naar aanleiding van een arrest van de Hoge Raad wordt de teruggaafregeling voor de dividendbelasting aangepast. N</w:t>
      </w:r>
      <w:r w:rsidRPr="00870FA6">
        <w:rPr>
          <w:rFonts w:ascii="Garamond" w:hAnsi="Garamond"/>
          <w:sz w:val="22"/>
          <w:szCs w:val="22"/>
        </w:rPr>
        <w:t>iet-ingezeten natuurlijke perso</w:t>
      </w:r>
      <w:r>
        <w:rPr>
          <w:rFonts w:ascii="Garamond" w:hAnsi="Garamond"/>
          <w:sz w:val="22"/>
          <w:szCs w:val="22"/>
        </w:rPr>
        <w:t>nen</w:t>
      </w:r>
      <w:r w:rsidRPr="00870FA6">
        <w:rPr>
          <w:rFonts w:ascii="Garamond" w:hAnsi="Garamond"/>
          <w:sz w:val="22"/>
          <w:szCs w:val="22"/>
        </w:rPr>
        <w:t xml:space="preserve"> en niet-ingezeten licha</w:t>
      </w:r>
      <w:r>
        <w:rPr>
          <w:rFonts w:ascii="Garamond" w:hAnsi="Garamond"/>
          <w:sz w:val="22"/>
          <w:szCs w:val="22"/>
        </w:rPr>
        <w:t>men</w:t>
      </w:r>
      <w:r w:rsidRPr="00870FA6">
        <w:rPr>
          <w:rFonts w:ascii="Garamond" w:hAnsi="Garamond"/>
          <w:sz w:val="22"/>
          <w:szCs w:val="22"/>
        </w:rPr>
        <w:t xml:space="preserve"> </w:t>
      </w:r>
      <w:r w:rsidRPr="00870FA6">
        <w:rPr>
          <w:rFonts w:ascii="Garamond" w:hAnsi="Garamond"/>
          <w:sz w:val="22"/>
          <w:szCs w:val="22"/>
        </w:rPr>
        <w:lastRenderedPageBreak/>
        <w:t xml:space="preserve">met Nederlandse aandelen </w:t>
      </w:r>
      <w:r>
        <w:rPr>
          <w:rFonts w:ascii="Garamond" w:hAnsi="Garamond"/>
          <w:sz w:val="22"/>
          <w:szCs w:val="22"/>
        </w:rPr>
        <w:t xml:space="preserve">zullen onder voorwaarden kunnen verzoeken om een </w:t>
      </w:r>
      <w:r w:rsidRPr="00870FA6">
        <w:rPr>
          <w:rFonts w:ascii="Garamond" w:hAnsi="Garamond"/>
          <w:sz w:val="22"/>
          <w:szCs w:val="22"/>
        </w:rPr>
        <w:t xml:space="preserve">teruggaaf van ingehouden dividendbelasting. Die teruggaaf is mogelijk voor zover deze dividendbelasting hoger is dan de inkomstenbelasting of vennootschapsbelasting die verschuldigd zou zijn </w:t>
      </w:r>
      <w:r>
        <w:rPr>
          <w:rFonts w:ascii="Garamond" w:hAnsi="Garamond"/>
          <w:sz w:val="22"/>
          <w:szCs w:val="22"/>
        </w:rPr>
        <w:t>als</w:t>
      </w:r>
      <w:r w:rsidRPr="00870FA6">
        <w:rPr>
          <w:rFonts w:ascii="Garamond" w:hAnsi="Garamond"/>
          <w:sz w:val="22"/>
          <w:szCs w:val="22"/>
        </w:rPr>
        <w:t xml:space="preserve"> de natuurlijke persoon of het lichaam inwoner van Nederland zou zijn geweest.</w:t>
      </w:r>
    </w:p>
    <w:p w:rsidR="003B5A90" w:rsidRDefault="003B5A90" w:rsidP="003B5A90">
      <w:pPr>
        <w:ind w:left="180"/>
        <w:jc w:val="both"/>
        <w:rPr>
          <w:rFonts w:ascii="Garamond" w:hAnsi="Garamond"/>
          <w:sz w:val="22"/>
          <w:szCs w:val="22"/>
        </w:rPr>
      </w:pPr>
    </w:p>
    <w:p w:rsidR="003B5A90" w:rsidRPr="003B5A90" w:rsidRDefault="003B5A90" w:rsidP="003B5A90">
      <w:pPr>
        <w:ind w:left="180"/>
        <w:jc w:val="both"/>
        <w:rPr>
          <w:rFonts w:ascii="Syntax-Roman" w:hAnsi="Syntax-Roman"/>
          <w:b/>
          <w:sz w:val="22"/>
          <w:szCs w:val="22"/>
        </w:rPr>
      </w:pPr>
      <w:r w:rsidRPr="003B5A90">
        <w:rPr>
          <w:rFonts w:ascii="Syntax-Roman" w:hAnsi="Syntax-Roman"/>
          <w:b/>
          <w:sz w:val="22"/>
          <w:szCs w:val="22"/>
        </w:rPr>
        <w:t>Let op!</w:t>
      </w:r>
    </w:p>
    <w:p w:rsidR="003B5A90" w:rsidRPr="00670402" w:rsidRDefault="003B5A90" w:rsidP="003B5A90">
      <w:pPr>
        <w:ind w:left="180"/>
        <w:jc w:val="both"/>
        <w:rPr>
          <w:rFonts w:ascii="Garamond" w:hAnsi="Garamond"/>
          <w:sz w:val="22"/>
          <w:szCs w:val="22"/>
        </w:rPr>
      </w:pPr>
      <w:r w:rsidRPr="003B5A90">
        <w:rPr>
          <w:rFonts w:ascii="Syntax-Roman" w:hAnsi="Syntax-Roman"/>
          <w:b/>
          <w:sz w:val="22"/>
          <w:szCs w:val="22"/>
        </w:rPr>
        <w:t>De fiscus verleent geen teruggaaf van dividendbelasting als de natuurlijke persoon of het lichaam niet de uiteindelijke gerechtigde tot de opbrengst is.</w:t>
      </w:r>
    </w:p>
    <w:p w:rsidR="003B5A90" w:rsidRDefault="003B5A90" w:rsidP="003B5A90">
      <w:pPr>
        <w:ind w:left="180"/>
        <w:jc w:val="both"/>
        <w:rPr>
          <w:rFonts w:ascii="Garamond" w:hAnsi="Garamond"/>
          <w:sz w:val="22"/>
          <w:szCs w:val="22"/>
        </w:rPr>
      </w:pPr>
    </w:p>
    <w:p w:rsidR="003B5A90" w:rsidRPr="004505D8" w:rsidRDefault="003B5A90" w:rsidP="003B5A90">
      <w:pPr>
        <w:ind w:left="180"/>
        <w:jc w:val="both"/>
        <w:rPr>
          <w:rFonts w:ascii="Syntax-Roman" w:hAnsi="Syntax-Roman"/>
          <w:b/>
          <w:sz w:val="22"/>
          <w:szCs w:val="22"/>
        </w:rPr>
      </w:pPr>
      <w:r w:rsidRPr="004505D8">
        <w:rPr>
          <w:rFonts w:ascii="Syntax-Roman" w:hAnsi="Syntax-Roman"/>
          <w:b/>
          <w:sz w:val="22"/>
          <w:szCs w:val="22"/>
        </w:rPr>
        <w:t>Heffingsrecht over bestuurdersvergoeding</w:t>
      </w:r>
    </w:p>
    <w:p w:rsidR="003B5A90" w:rsidRDefault="003B5A90" w:rsidP="003B5A90">
      <w:pPr>
        <w:ind w:left="180"/>
        <w:jc w:val="both"/>
        <w:rPr>
          <w:rFonts w:ascii="Garamond" w:hAnsi="Garamond"/>
          <w:sz w:val="22"/>
          <w:szCs w:val="22"/>
        </w:rPr>
      </w:pPr>
      <w:r>
        <w:rPr>
          <w:rFonts w:ascii="Garamond" w:hAnsi="Garamond"/>
          <w:sz w:val="22"/>
          <w:szCs w:val="22"/>
        </w:rPr>
        <w:t>B</w:t>
      </w:r>
      <w:r w:rsidRPr="004505D8">
        <w:rPr>
          <w:rFonts w:ascii="Garamond" w:hAnsi="Garamond"/>
          <w:sz w:val="22"/>
          <w:szCs w:val="22"/>
        </w:rPr>
        <w:t xml:space="preserve">elastingverdragen </w:t>
      </w:r>
      <w:r>
        <w:rPr>
          <w:rFonts w:ascii="Garamond" w:hAnsi="Garamond"/>
          <w:sz w:val="22"/>
          <w:szCs w:val="22"/>
        </w:rPr>
        <w:t>wijzen</w:t>
      </w:r>
      <w:r w:rsidRPr="004505D8">
        <w:rPr>
          <w:rFonts w:ascii="Garamond" w:hAnsi="Garamond"/>
          <w:sz w:val="22"/>
          <w:szCs w:val="22"/>
        </w:rPr>
        <w:t xml:space="preserve"> het heffingsrecht over beloningen van bestuurders en commissarissen van een vennootschap in de regel to</w:t>
      </w:r>
      <w:r>
        <w:rPr>
          <w:rFonts w:ascii="Garamond" w:hAnsi="Garamond"/>
          <w:sz w:val="22"/>
          <w:szCs w:val="22"/>
        </w:rPr>
        <w:t xml:space="preserve">e </w:t>
      </w:r>
      <w:r w:rsidRPr="004505D8">
        <w:rPr>
          <w:rFonts w:ascii="Garamond" w:hAnsi="Garamond"/>
          <w:sz w:val="22"/>
          <w:szCs w:val="22"/>
        </w:rPr>
        <w:t xml:space="preserve">aan het land waar die vennootschap is gevestigd. </w:t>
      </w:r>
      <w:r>
        <w:rPr>
          <w:rFonts w:ascii="Garamond" w:hAnsi="Garamond"/>
          <w:sz w:val="22"/>
          <w:szCs w:val="22"/>
        </w:rPr>
        <w:t>Daarom wil het kabinet vastleggen</w:t>
      </w:r>
      <w:r w:rsidRPr="004505D8">
        <w:rPr>
          <w:rFonts w:ascii="Garamond" w:hAnsi="Garamond"/>
          <w:sz w:val="22"/>
          <w:szCs w:val="22"/>
        </w:rPr>
        <w:t xml:space="preserve"> </w:t>
      </w:r>
      <w:r>
        <w:rPr>
          <w:rFonts w:ascii="Garamond" w:hAnsi="Garamond"/>
          <w:sz w:val="22"/>
          <w:szCs w:val="22"/>
        </w:rPr>
        <w:t xml:space="preserve">dat Nederland de vergoeding voor </w:t>
      </w:r>
      <w:r w:rsidRPr="004505D8">
        <w:rPr>
          <w:rFonts w:ascii="Garamond" w:hAnsi="Garamond"/>
          <w:sz w:val="22"/>
          <w:szCs w:val="22"/>
        </w:rPr>
        <w:t xml:space="preserve">buitenlands belastingplichtige bestuurders en commissarissen van in Nederland gevestigde vennootschappen </w:t>
      </w:r>
      <w:r>
        <w:rPr>
          <w:rFonts w:ascii="Garamond" w:hAnsi="Garamond"/>
          <w:sz w:val="22"/>
          <w:szCs w:val="22"/>
        </w:rPr>
        <w:t xml:space="preserve">volgens nationaal recht kan belasten, ongeacht of sprake is van </w:t>
      </w:r>
      <w:r w:rsidRPr="004505D8">
        <w:rPr>
          <w:rFonts w:ascii="Garamond" w:hAnsi="Garamond"/>
          <w:sz w:val="22"/>
          <w:szCs w:val="22"/>
        </w:rPr>
        <w:t>winst uit onderneming</w:t>
      </w:r>
      <w:r>
        <w:rPr>
          <w:rFonts w:ascii="Garamond" w:hAnsi="Garamond"/>
          <w:sz w:val="22"/>
          <w:szCs w:val="22"/>
        </w:rPr>
        <w:t xml:space="preserve">, </w:t>
      </w:r>
      <w:r w:rsidRPr="004505D8">
        <w:rPr>
          <w:rFonts w:ascii="Garamond" w:hAnsi="Garamond"/>
          <w:sz w:val="22"/>
          <w:szCs w:val="22"/>
        </w:rPr>
        <w:t xml:space="preserve">loon </w:t>
      </w:r>
      <w:r>
        <w:rPr>
          <w:rFonts w:ascii="Garamond" w:hAnsi="Garamond"/>
          <w:sz w:val="22"/>
          <w:szCs w:val="22"/>
        </w:rPr>
        <w:t xml:space="preserve">uit dienstbetrekking </w:t>
      </w:r>
      <w:r w:rsidRPr="004505D8">
        <w:rPr>
          <w:rFonts w:ascii="Garamond" w:hAnsi="Garamond"/>
          <w:sz w:val="22"/>
          <w:szCs w:val="22"/>
        </w:rPr>
        <w:t xml:space="preserve">of resultaat uit overige werkzaamheden. </w:t>
      </w:r>
      <w:r>
        <w:rPr>
          <w:rFonts w:ascii="Garamond" w:hAnsi="Garamond"/>
          <w:sz w:val="22"/>
          <w:szCs w:val="22"/>
        </w:rPr>
        <w:t>Zo stelt het kabinet zeker</w:t>
      </w:r>
      <w:r w:rsidRPr="004505D8">
        <w:rPr>
          <w:rFonts w:ascii="Garamond" w:hAnsi="Garamond"/>
          <w:sz w:val="22"/>
          <w:szCs w:val="22"/>
        </w:rPr>
        <w:t xml:space="preserve"> dat Nederland het in verdragen aan Nederland toegewezen heffingsrecht op beloningen van bestuurders en commissarissen in alle gevallen kan </w:t>
      </w:r>
      <w:r>
        <w:rPr>
          <w:rFonts w:ascii="Garamond" w:hAnsi="Garamond"/>
          <w:sz w:val="22"/>
          <w:szCs w:val="22"/>
        </w:rPr>
        <w:t>benutten</w:t>
      </w:r>
      <w:r w:rsidRPr="004505D8">
        <w:rPr>
          <w:rFonts w:ascii="Garamond" w:hAnsi="Garamond"/>
          <w:sz w:val="22"/>
          <w:szCs w:val="22"/>
        </w:rPr>
        <w:t>.</w:t>
      </w:r>
    </w:p>
    <w:p w:rsidR="003B5A90" w:rsidRDefault="003B5A90" w:rsidP="003B5A90">
      <w:pPr>
        <w:ind w:left="180"/>
        <w:jc w:val="both"/>
        <w:rPr>
          <w:rFonts w:ascii="Garamond" w:hAnsi="Garamond"/>
          <w:sz w:val="22"/>
          <w:szCs w:val="22"/>
        </w:rPr>
      </w:pPr>
    </w:p>
    <w:p w:rsidR="003B5A90" w:rsidRPr="0028777E" w:rsidRDefault="003B5A90" w:rsidP="003B5A90">
      <w:pPr>
        <w:ind w:left="180"/>
        <w:jc w:val="both"/>
        <w:rPr>
          <w:rFonts w:ascii="Syntax-Roman" w:hAnsi="Syntax-Roman"/>
          <w:b/>
          <w:sz w:val="22"/>
          <w:szCs w:val="22"/>
        </w:rPr>
      </w:pPr>
      <w:r w:rsidRPr="0028777E">
        <w:rPr>
          <w:rFonts w:ascii="Syntax-Roman" w:hAnsi="Syntax-Roman"/>
          <w:b/>
          <w:sz w:val="22"/>
          <w:szCs w:val="22"/>
        </w:rPr>
        <w:t>Intrekking Spaarrenterichtlijn</w:t>
      </w:r>
    </w:p>
    <w:p w:rsidR="003B5A90" w:rsidRPr="004505D8" w:rsidRDefault="003B5A90" w:rsidP="003B5A90">
      <w:pPr>
        <w:ind w:left="180"/>
        <w:jc w:val="both"/>
        <w:rPr>
          <w:rFonts w:ascii="Garamond" w:hAnsi="Garamond"/>
          <w:sz w:val="22"/>
          <w:szCs w:val="22"/>
        </w:rPr>
      </w:pPr>
      <w:r>
        <w:rPr>
          <w:rFonts w:ascii="Garamond" w:hAnsi="Garamond"/>
          <w:sz w:val="22"/>
          <w:szCs w:val="22"/>
        </w:rPr>
        <w:t>Met terugwerkende kracht tot 1 januari 2016 wordt de Nederlandse wet aangepast aan het intrekken van de Europese spaarrenterichtlijn. Als gevolg van deze aanpassing zal onder meer de Oostenrijkse bronbelasting op rente in beginsel geen voorheffing meer vormen voor de inkomstenbelasting. Echter op basis van overgangsrecht blijft de regeling zoals die luidde op 31 december 2015 voorlopig nog gelden ten aanzien van bronbelasting die is geheven over rentebetalingen die na 31 december 2015 zijn gedaan. Bij algemene maatregel van bestuur kunnen ook bronheffingen van enkele landen buiten de EU worden aangewezen als voorheffing. Bovendien moet bij wijze van overgangsrecht ook na 31 december 2015 worden vol</w:t>
      </w:r>
      <w:r>
        <w:rPr>
          <w:rFonts w:ascii="Garamond" w:hAnsi="Garamond"/>
          <w:sz w:val="22"/>
          <w:szCs w:val="22"/>
        </w:rPr>
        <w:t>daan aan verplichtingen op grond van de spaarrenterichtlijn die vóór 1 januari 2016 zijn ontstaan</w:t>
      </w:r>
      <w:r w:rsidRPr="0028777E">
        <w:rPr>
          <w:rFonts w:ascii="Garamond" w:hAnsi="Garamond"/>
          <w:sz w:val="22"/>
          <w:szCs w:val="22"/>
        </w:rPr>
        <w:t>.</w:t>
      </w:r>
    </w:p>
    <w:p w:rsidR="003B5A90" w:rsidRDefault="003B5A90" w:rsidP="006A52E6">
      <w:pPr>
        <w:ind w:left="180"/>
        <w:jc w:val="both"/>
        <w:rPr>
          <w:rFonts w:ascii="Syntax-Roman" w:hAnsi="Syntax-Roman"/>
          <w:b/>
          <w:sz w:val="22"/>
          <w:szCs w:val="22"/>
        </w:rPr>
      </w:pPr>
    </w:p>
    <w:p w:rsidR="003B5A90" w:rsidRDefault="003B5A90" w:rsidP="006A52E6">
      <w:pPr>
        <w:ind w:left="180"/>
        <w:jc w:val="both"/>
        <w:rPr>
          <w:rFonts w:ascii="Syntax-Roman" w:hAnsi="Syntax-Roman"/>
          <w:b/>
          <w:sz w:val="22"/>
          <w:szCs w:val="22"/>
        </w:rPr>
      </w:pPr>
    </w:p>
    <w:p w:rsidR="003B5A90" w:rsidRDefault="003B5A90" w:rsidP="003B5A90">
      <w:pPr>
        <w:ind w:left="180"/>
        <w:jc w:val="both"/>
        <w:rPr>
          <w:rFonts w:ascii="Syntax-Roman" w:hAnsi="Syntax-Roman"/>
          <w:b/>
          <w:sz w:val="22"/>
          <w:szCs w:val="22"/>
        </w:rPr>
      </w:pPr>
      <w:r w:rsidRPr="006A13EA">
        <w:rPr>
          <w:rFonts w:ascii="Syntax-Roman" w:hAnsi="Syntax-Roman"/>
          <w:b/>
          <w:sz w:val="22"/>
          <w:szCs w:val="22"/>
        </w:rPr>
        <w:t xml:space="preserve">MAATREGELEN </w:t>
      </w:r>
      <w:r>
        <w:rPr>
          <w:rFonts w:ascii="Syntax-Roman" w:hAnsi="Syntax-Roman"/>
          <w:b/>
          <w:sz w:val="22"/>
          <w:szCs w:val="22"/>
        </w:rPr>
        <w:t>BTW EN ACCIJNZEN</w:t>
      </w:r>
    </w:p>
    <w:p w:rsidR="003B5A90" w:rsidRDefault="003B5A90" w:rsidP="006A52E6">
      <w:pPr>
        <w:ind w:left="180"/>
        <w:jc w:val="both"/>
        <w:rPr>
          <w:rFonts w:ascii="Syntax-Roman" w:hAnsi="Syntax-Roman"/>
          <w:b/>
          <w:sz w:val="22"/>
          <w:szCs w:val="22"/>
        </w:rPr>
      </w:pPr>
    </w:p>
    <w:p w:rsidR="003B5A90" w:rsidRPr="004B044E" w:rsidRDefault="003B5A90" w:rsidP="003B5A90">
      <w:pPr>
        <w:ind w:left="180"/>
        <w:jc w:val="both"/>
        <w:rPr>
          <w:rFonts w:ascii="Syntax-Roman" w:hAnsi="Syntax-Roman"/>
          <w:b/>
          <w:sz w:val="22"/>
        </w:rPr>
      </w:pPr>
      <w:r>
        <w:rPr>
          <w:rFonts w:ascii="Syntax-Roman" w:hAnsi="Syntax-Roman"/>
          <w:b/>
          <w:sz w:val="22"/>
        </w:rPr>
        <w:t xml:space="preserve">Sneller vrijstelling van overdrachtsbelasting </w:t>
      </w:r>
    </w:p>
    <w:p w:rsidR="003B5A90" w:rsidRDefault="003B5A90" w:rsidP="003B5A90">
      <w:pPr>
        <w:ind w:left="180"/>
        <w:jc w:val="both"/>
        <w:rPr>
          <w:rFonts w:ascii="Garamond" w:hAnsi="Garamond"/>
          <w:sz w:val="22"/>
          <w:szCs w:val="22"/>
        </w:rPr>
      </w:pPr>
      <w:r w:rsidRPr="00A97F31">
        <w:rPr>
          <w:rFonts w:ascii="Garamond" w:hAnsi="Garamond"/>
          <w:sz w:val="22"/>
          <w:szCs w:val="22"/>
        </w:rPr>
        <w:t xml:space="preserve">Volgens het </w:t>
      </w:r>
      <w:r w:rsidRPr="00071089">
        <w:rPr>
          <w:rFonts w:ascii="Garamond" w:hAnsi="Garamond"/>
          <w:sz w:val="22"/>
          <w:szCs w:val="22"/>
        </w:rPr>
        <w:t>H</w:t>
      </w:r>
      <w:r>
        <w:rPr>
          <w:rFonts w:ascii="Garamond" w:hAnsi="Garamond"/>
          <w:sz w:val="22"/>
          <w:szCs w:val="22"/>
        </w:rPr>
        <w:t>of van Justitie van de E</w:t>
      </w:r>
      <w:r w:rsidRPr="00071089">
        <w:rPr>
          <w:rFonts w:ascii="Garamond" w:hAnsi="Garamond"/>
          <w:sz w:val="22"/>
          <w:szCs w:val="22"/>
        </w:rPr>
        <w:t>U</w:t>
      </w:r>
      <w:r w:rsidRPr="00A97F31">
        <w:rPr>
          <w:rFonts w:ascii="Garamond" w:hAnsi="Garamond"/>
          <w:sz w:val="22"/>
          <w:szCs w:val="22"/>
        </w:rPr>
        <w:t xml:space="preserve"> kan een terrein als bouwterrein in de zin</w:t>
      </w:r>
      <w:r>
        <w:rPr>
          <w:rFonts w:ascii="Garamond" w:hAnsi="Garamond"/>
          <w:sz w:val="22"/>
          <w:szCs w:val="22"/>
        </w:rPr>
        <w:t xml:space="preserve"> </w:t>
      </w:r>
      <w:r w:rsidRPr="00A97F31">
        <w:rPr>
          <w:rFonts w:ascii="Garamond" w:hAnsi="Garamond"/>
          <w:sz w:val="22"/>
          <w:szCs w:val="22"/>
        </w:rPr>
        <w:t>van de B</w:t>
      </w:r>
      <w:r>
        <w:rPr>
          <w:rFonts w:ascii="Garamond" w:hAnsi="Garamond"/>
          <w:sz w:val="22"/>
          <w:szCs w:val="22"/>
        </w:rPr>
        <w:t>tw-</w:t>
      </w:r>
      <w:r w:rsidRPr="00A97F31">
        <w:rPr>
          <w:rFonts w:ascii="Garamond" w:hAnsi="Garamond"/>
          <w:sz w:val="22"/>
          <w:szCs w:val="22"/>
        </w:rPr>
        <w:t xml:space="preserve">richtlijn worden aangemerkt, wanneer uit een beoordeling van alle omstandigheden, </w:t>
      </w:r>
      <w:proofErr w:type="gramStart"/>
      <w:r w:rsidRPr="00A97F31">
        <w:rPr>
          <w:rFonts w:ascii="Garamond" w:hAnsi="Garamond"/>
          <w:sz w:val="22"/>
          <w:szCs w:val="22"/>
        </w:rPr>
        <w:t>mits  ondersteund</w:t>
      </w:r>
      <w:proofErr w:type="gramEnd"/>
      <w:r w:rsidRPr="00A97F31">
        <w:rPr>
          <w:rFonts w:ascii="Garamond" w:hAnsi="Garamond"/>
          <w:sz w:val="22"/>
          <w:szCs w:val="22"/>
        </w:rPr>
        <w:t xml:space="preserve"> door objectieve gegevens</w:t>
      </w:r>
      <w:r>
        <w:rPr>
          <w:rFonts w:ascii="Garamond" w:hAnsi="Garamond"/>
          <w:sz w:val="22"/>
          <w:szCs w:val="22"/>
        </w:rPr>
        <w:t>,</w:t>
      </w:r>
      <w:r w:rsidRPr="00A97F31">
        <w:rPr>
          <w:rFonts w:ascii="Garamond" w:hAnsi="Garamond"/>
          <w:sz w:val="22"/>
          <w:szCs w:val="22"/>
        </w:rPr>
        <w:t xml:space="preserve"> blijkt dat op de datum van levering het betrokken terrein daadwerkelijk bestemd was om te</w:t>
      </w:r>
      <w:r>
        <w:rPr>
          <w:rFonts w:ascii="Garamond" w:hAnsi="Garamond"/>
          <w:sz w:val="22"/>
          <w:szCs w:val="22"/>
        </w:rPr>
        <w:t xml:space="preserve"> </w:t>
      </w:r>
      <w:r w:rsidRPr="00A97F31">
        <w:rPr>
          <w:rFonts w:ascii="Garamond" w:hAnsi="Garamond"/>
          <w:sz w:val="22"/>
          <w:szCs w:val="22"/>
        </w:rPr>
        <w:t xml:space="preserve">worden bebouwd. </w:t>
      </w:r>
      <w:r>
        <w:rPr>
          <w:rFonts w:ascii="Garamond" w:hAnsi="Garamond"/>
          <w:sz w:val="22"/>
          <w:szCs w:val="22"/>
        </w:rPr>
        <w:t>Daarbij speelt ook de intentie van de partijen een belangrijke rol. Het begrip terrein wordt in de Wet op de omzetbelasting beperkter uitgelegd. Voorgesteld wordt om btw-ondernemers op grond van het arrest van het Europese Hof de mogelijkheid te bieden rechtsreeks een beroep</w:t>
      </w:r>
      <w:r w:rsidRPr="00071089">
        <w:rPr>
          <w:rFonts w:ascii="Garamond" w:hAnsi="Garamond"/>
          <w:sz w:val="22"/>
          <w:szCs w:val="22"/>
        </w:rPr>
        <w:t xml:space="preserve"> </w:t>
      </w:r>
      <w:r>
        <w:rPr>
          <w:rFonts w:ascii="Garamond" w:hAnsi="Garamond"/>
          <w:sz w:val="22"/>
          <w:szCs w:val="22"/>
        </w:rPr>
        <w:t xml:space="preserve">te doen op </w:t>
      </w:r>
      <w:r w:rsidRPr="00071089">
        <w:rPr>
          <w:rFonts w:ascii="Garamond" w:hAnsi="Garamond"/>
          <w:sz w:val="22"/>
          <w:szCs w:val="22"/>
        </w:rPr>
        <w:t xml:space="preserve">de ruimere definitie van een bouwterrein </w:t>
      </w:r>
      <w:r>
        <w:rPr>
          <w:rFonts w:ascii="Garamond" w:hAnsi="Garamond"/>
          <w:sz w:val="22"/>
          <w:szCs w:val="22"/>
        </w:rPr>
        <w:t xml:space="preserve">in </w:t>
      </w:r>
      <w:r w:rsidRPr="00071089">
        <w:rPr>
          <w:rFonts w:ascii="Garamond" w:hAnsi="Garamond"/>
          <w:sz w:val="22"/>
          <w:szCs w:val="22"/>
        </w:rPr>
        <w:t>de</w:t>
      </w:r>
      <w:r>
        <w:rPr>
          <w:rFonts w:ascii="Garamond" w:hAnsi="Garamond"/>
          <w:sz w:val="22"/>
          <w:szCs w:val="22"/>
        </w:rPr>
        <w:t xml:space="preserve"> Btw</w:t>
      </w:r>
      <w:r w:rsidRPr="00071089">
        <w:rPr>
          <w:rFonts w:ascii="Garamond" w:hAnsi="Garamond"/>
          <w:sz w:val="22"/>
          <w:szCs w:val="22"/>
        </w:rPr>
        <w:t>-richtlijn. In dat geval wordt</w:t>
      </w:r>
      <w:r>
        <w:rPr>
          <w:rFonts w:ascii="Garamond" w:hAnsi="Garamond"/>
          <w:sz w:val="22"/>
          <w:szCs w:val="22"/>
        </w:rPr>
        <w:t xml:space="preserve"> in verband met </w:t>
      </w:r>
      <w:r w:rsidRPr="00071089">
        <w:rPr>
          <w:rFonts w:ascii="Garamond" w:hAnsi="Garamond"/>
          <w:sz w:val="22"/>
          <w:szCs w:val="22"/>
        </w:rPr>
        <w:t xml:space="preserve">de levering van </w:t>
      </w:r>
      <w:r>
        <w:rPr>
          <w:rFonts w:ascii="Garamond" w:hAnsi="Garamond"/>
          <w:sz w:val="22"/>
          <w:szCs w:val="22"/>
        </w:rPr>
        <w:t>het</w:t>
      </w:r>
      <w:r w:rsidRPr="00071089">
        <w:rPr>
          <w:rFonts w:ascii="Garamond" w:hAnsi="Garamond"/>
          <w:sz w:val="22"/>
          <w:szCs w:val="22"/>
        </w:rPr>
        <w:t xml:space="preserve"> bouwterreinen btw in rekening ge</w:t>
      </w:r>
      <w:r>
        <w:rPr>
          <w:rFonts w:ascii="Garamond" w:hAnsi="Garamond"/>
          <w:sz w:val="22"/>
          <w:szCs w:val="22"/>
        </w:rPr>
        <w:t xml:space="preserve">bracht en is de samenloopvrijstelling van overdrachtsbelasting van rechtswege van toepassing. </w:t>
      </w:r>
    </w:p>
    <w:p w:rsidR="003B5A90" w:rsidRDefault="003B5A90" w:rsidP="003B5A90">
      <w:pPr>
        <w:ind w:left="180"/>
        <w:jc w:val="both"/>
        <w:rPr>
          <w:rFonts w:ascii="Garamond" w:hAnsi="Garamond"/>
          <w:sz w:val="22"/>
          <w:szCs w:val="22"/>
        </w:rPr>
      </w:pPr>
    </w:p>
    <w:p w:rsidR="003B5A90" w:rsidRPr="003B5A90" w:rsidRDefault="003B5A90" w:rsidP="003B5A90">
      <w:pPr>
        <w:ind w:left="180"/>
        <w:jc w:val="both"/>
        <w:rPr>
          <w:rFonts w:ascii="Syntax-Roman" w:hAnsi="Syntax-Roman"/>
          <w:b/>
          <w:sz w:val="22"/>
          <w:szCs w:val="22"/>
        </w:rPr>
      </w:pPr>
      <w:r w:rsidRPr="003B5A90">
        <w:rPr>
          <w:rFonts w:ascii="Syntax-Roman" w:hAnsi="Syntax-Roman"/>
          <w:b/>
          <w:sz w:val="22"/>
          <w:szCs w:val="22"/>
        </w:rPr>
        <w:t>Tip</w:t>
      </w:r>
    </w:p>
    <w:p w:rsidR="003B5A90" w:rsidRDefault="003B5A90" w:rsidP="003B5A90">
      <w:pPr>
        <w:ind w:left="180"/>
        <w:jc w:val="both"/>
        <w:rPr>
          <w:rFonts w:ascii="Garamond" w:hAnsi="Garamond"/>
          <w:b/>
          <w:sz w:val="22"/>
          <w:szCs w:val="22"/>
        </w:rPr>
      </w:pPr>
      <w:r w:rsidRPr="003B5A90">
        <w:rPr>
          <w:rFonts w:ascii="Syntax-Roman" w:hAnsi="Syntax-Roman"/>
          <w:b/>
          <w:sz w:val="22"/>
          <w:szCs w:val="22"/>
        </w:rPr>
        <w:t xml:space="preserve">Aan de eis dat het bij een bouwterrein moet gaan om onbebouwde grond wordt ook voldaan, als de grond wordt geleverd waarop nog een gebouw staat. Maar dan moet de leverancier zich wel </w:t>
      </w:r>
      <w:proofErr w:type="gramStart"/>
      <w:r w:rsidRPr="003B5A90">
        <w:rPr>
          <w:rFonts w:ascii="Syntax-Roman" w:hAnsi="Syntax-Roman"/>
          <w:b/>
          <w:sz w:val="22"/>
          <w:szCs w:val="22"/>
        </w:rPr>
        <w:t>er toe</w:t>
      </w:r>
      <w:proofErr w:type="gramEnd"/>
      <w:r w:rsidRPr="003B5A90">
        <w:rPr>
          <w:rFonts w:ascii="Syntax-Roman" w:hAnsi="Syntax-Roman"/>
          <w:b/>
          <w:sz w:val="22"/>
          <w:szCs w:val="22"/>
        </w:rPr>
        <w:t xml:space="preserve"> hebben verbonden om dit gebouw in het kader van de levering volledig te slepen.</w:t>
      </w:r>
      <w:r w:rsidRPr="00A97F31">
        <w:rPr>
          <w:rFonts w:ascii="Garamond" w:hAnsi="Garamond"/>
          <w:b/>
          <w:sz w:val="22"/>
          <w:szCs w:val="22"/>
        </w:rPr>
        <w:t xml:space="preserve">  </w:t>
      </w:r>
    </w:p>
    <w:p w:rsidR="003B5A90" w:rsidRPr="00A97F31" w:rsidRDefault="003B5A90" w:rsidP="003B5A90">
      <w:pPr>
        <w:ind w:left="180"/>
        <w:jc w:val="both"/>
        <w:rPr>
          <w:rFonts w:ascii="Garamond" w:hAnsi="Garamond"/>
          <w:b/>
          <w:sz w:val="22"/>
          <w:szCs w:val="22"/>
        </w:rPr>
      </w:pPr>
    </w:p>
    <w:p w:rsidR="003B5A90" w:rsidRDefault="003B5A90" w:rsidP="003B5A90">
      <w:pPr>
        <w:ind w:left="180"/>
        <w:jc w:val="both"/>
        <w:rPr>
          <w:rFonts w:ascii="Syntax-Roman" w:hAnsi="Syntax-Roman"/>
          <w:b/>
          <w:sz w:val="22"/>
        </w:rPr>
      </w:pPr>
      <w:r>
        <w:rPr>
          <w:rFonts w:ascii="Syntax-Roman" w:hAnsi="Syntax-Roman"/>
          <w:b/>
          <w:sz w:val="22"/>
        </w:rPr>
        <w:t>Personeelscriterium voor sportvrijstelling vervalt</w:t>
      </w:r>
    </w:p>
    <w:p w:rsidR="003B5A90" w:rsidRDefault="003B5A90" w:rsidP="003B5A90">
      <w:pPr>
        <w:ind w:left="180"/>
        <w:jc w:val="both"/>
        <w:rPr>
          <w:rFonts w:ascii="Garamond" w:hAnsi="Garamond"/>
          <w:sz w:val="22"/>
          <w:szCs w:val="22"/>
        </w:rPr>
      </w:pPr>
      <w:r>
        <w:rPr>
          <w:rFonts w:ascii="Garamond" w:hAnsi="Garamond"/>
          <w:sz w:val="22"/>
          <w:szCs w:val="22"/>
        </w:rPr>
        <w:t xml:space="preserve">De uitzondering die geldt op de btw-vrijstelling voor diensten van niet-beogende watersportorganisaties, die personeel in dienst hebben voor het verrichten van werkzaamheden aan vaartuigen, is volgens het Europese Hof te strikt. Daarom komt die uitzondering op de </w:t>
      </w:r>
      <w:proofErr w:type="gramStart"/>
      <w:r>
        <w:rPr>
          <w:rFonts w:ascii="Garamond" w:hAnsi="Garamond"/>
          <w:sz w:val="22"/>
          <w:szCs w:val="22"/>
        </w:rPr>
        <w:t>vrijstelling  te</w:t>
      </w:r>
      <w:proofErr w:type="gramEnd"/>
      <w:r>
        <w:rPr>
          <w:rFonts w:ascii="Garamond" w:hAnsi="Garamond"/>
          <w:sz w:val="22"/>
          <w:szCs w:val="22"/>
        </w:rPr>
        <w:t xml:space="preserve"> vervallen. </w:t>
      </w:r>
      <w:r w:rsidRPr="00F15628">
        <w:rPr>
          <w:rFonts w:ascii="Garamond" w:hAnsi="Garamond"/>
          <w:sz w:val="22"/>
          <w:szCs w:val="22"/>
        </w:rPr>
        <w:t xml:space="preserve">Niet-beogende watersportorganisaties die personeel in dienst </w:t>
      </w:r>
      <w:r w:rsidRPr="00F15628">
        <w:rPr>
          <w:rFonts w:ascii="Garamond" w:hAnsi="Garamond"/>
          <w:sz w:val="22"/>
          <w:szCs w:val="22"/>
        </w:rPr>
        <w:lastRenderedPageBreak/>
        <w:t>hebben voor de genoemde werkzaamheden kunnen zich voor alle nog niet definitief vaststaande aangiftetijdvakken op de uitspraak van het Europese Hof beroepen.</w:t>
      </w:r>
      <w:r w:rsidRPr="00F15628">
        <w:rPr>
          <w:rFonts w:ascii="Garamond" w:hAnsi="Garamond"/>
          <w:b/>
          <w:sz w:val="22"/>
          <w:szCs w:val="22"/>
        </w:rPr>
        <w:t xml:space="preserve"> </w:t>
      </w:r>
      <w:r>
        <w:rPr>
          <w:rFonts w:ascii="Garamond" w:hAnsi="Garamond"/>
          <w:sz w:val="22"/>
          <w:szCs w:val="22"/>
        </w:rPr>
        <w:t xml:space="preserve">Anderzijds is de btw-vrijstelling te ruim toegepast voor het ter beschikking stellen van lig- en bergplaatsen voor vaartuigen, voor zover deze plaatsen worden gebruikt voor vaartuigen voor recreatief gebruik. Dit wordt nu expliciet als uitzondering op de sportvrijstelling opgenomen. </w:t>
      </w:r>
    </w:p>
    <w:p w:rsidR="003B5A90" w:rsidRDefault="003B5A90" w:rsidP="003B5A90">
      <w:pPr>
        <w:ind w:left="180"/>
        <w:jc w:val="both"/>
        <w:rPr>
          <w:rFonts w:ascii="Garamond" w:hAnsi="Garamond"/>
          <w:sz w:val="22"/>
          <w:szCs w:val="22"/>
        </w:rPr>
      </w:pPr>
    </w:p>
    <w:p w:rsidR="003B5A90" w:rsidRPr="003B5A90" w:rsidRDefault="003B5A90" w:rsidP="003B5A90">
      <w:pPr>
        <w:ind w:left="180"/>
        <w:jc w:val="both"/>
        <w:rPr>
          <w:rFonts w:ascii="Syntax-Roman" w:hAnsi="Syntax-Roman"/>
          <w:b/>
          <w:sz w:val="22"/>
        </w:rPr>
      </w:pPr>
      <w:r w:rsidRPr="003B5A90">
        <w:rPr>
          <w:rFonts w:ascii="Syntax-Roman" w:hAnsi="Syntax-Roman"/>
          <w:b/>
          <w:sz w:val="22"/>
          <w:szCs w:val="22"/>
        </w:rPr>
        <w:t>Let op!</w:t>
      </w:r>
    </w:p>
    <w:p w:rsidR="003B5A90" w:rsidRDefault="003B5A90" w:rsidP="003B5A90">
      <w:pPr>
        <w:ind w:left="180"/>
        <w:jc w:val="both"/>
        <w:rPr>
          <w:rFonts w:ascii="Garamond" w:hAnsi="Garamond"/>
          <w:b/>
          <w:sz w:val="22"/>
          <w:szCs w:val="22"/>
        </w:rPr>
      </w:pPr>
      <w:r w:rsidRPr="003B5A90">
        <w:rPr>
          <w:rFonts w:ascii="Syntax-Roman" w:hAnsi="Syntax-Roman"/>
          <w:b/>
          <w:sz w:val="22"/>
          <w:szCs w:val="22"/>
        </w:rPr>
        <w:t>Zodra de niet-winstbeogende watersportorganisatie (weer) gebruik maakt van de btw-vrijstelling, verliest zij het recht op aftrek van btw op de kosten en investeringen die toe te rekenen zijn aan de vrijgestelde prestaties.</w:t>
      </w:r>
      <w:r w:rsidRPr="00F15628">
        <w:rPr>
          <w:rFonts w:ascii="Garamond" w:hAnsi="Garamond"/>
          <w:b/>
          <w:sz w:val="22"/>
          <w:szCs w:val="22"/>
        </w:rPr>
        <w:t xml:space="preserve"> </w:t>
      </w:r>
    </w:p>
    <w:p w:rsidR="003B5A90" w:rsidRDefault="003B5A90" w:rsidP="003B5A90">
      <w:pPr>
        <w:ind w:left="180"/>
        <w:jc w:val="both"/>
        <w:rPr>
          <w:rFonts w:ascii="Garamond" w:hAnsi="Garamond"/>
          <w:b/>
          <w:sz w:val="22"/>
          <w:szCs w:val="22"/>
        </w:rPr>
      </w:pPr>
    </w:p>
    <w:p w:rsidR="003B5A90" w:rsidRPr="00A066B3" w:rsidRDefault="003B5A90" w:rsidP="003B5A90">
      <w:pPr>
        <w:ind w:left="180"/>
        <w:jc w:val="both"/>
        <w:rPr>
          <w:rFonts w:ascii="Syntax-Roman" w:hAnsi="Syntax-Roman"/>
          <w:b/>
          <w:sz w:val="22"/>
        </w:rPr>
      </w:pPr>
      <w:r>
        <w:rPr>
          <w:rFonts w:ascii="Syntax-Roman" w:hAnsi="Syntax-Roman"/>
          <w:b/>
          <w:sz w:val="22"/>
        </w:rPr>
        <w:t>Btw-t</w:t>
      </w:r>
      <w:r w:rsidRPr="00A066B3">
        <w:rPr>
          <w:rFonts w:ascii="Syntax-Roman" w:hAnsi="Syntax-Roman"/>
          <w:b/>
          <w:sz w:val="22"/>
        </w:rPr>
        <w:t xml:space="preserve">eruggaaf </w:t>
      </w:r>
      <w:r>
        <w:rPr>
          <w:rFonts w:ascii="Syntax-Roman" w:hAnsi="Syntax-Roman"/>
          <w:b/>
          <w:sz w:val="22"/>
        </w:rPr>
        <w:t>sneller en eenvoudiger</w:t>
      </w:r>
    </w:p>
    <w:p w:rsidR="003B5A90" w:rsidRDefault="003B5A90" w:rsidP="003B5A90">
      <w:pPr>
        <w:ind w:left="180"/>
        <w:jc w:val="both"/>
        <w:rPr>
          <w:rFonts w:ascii="Garamond" w:hAnsi="Garamond"/>
          <w:sz w:val="22"/>
          <w:szCs w:val="22"/>
        </w:rPr>
      </w:pPr>
      <w:r>
        <w:rPr>
          <w:rFonts w:ascii="Garamond" w:hAnsi="Garamond"/>
          <w:sz w:val="22"/>
          <w:szCs w:val="22"/>
        </w:rPr>
        <w:t xml:space="preserve">Het kabinet wil de </w:t>
      </w:r>
      <w:r w:rsidRPr="00644B67">
        <w:rPr>
          <w:rFonts w:ascii="Garamond" w:hAnsi="Garamond"/>
          <w:sz w:val="22"/>
          <w:szCs w:val="22"/>
        </w:rPr>
        <w:t xml:space="preserve">teruggaafmogelijkheid van de al op aangifte voldane </w:t>
      </w:r>
      <w:r>
        <w:rPr>
          <w:rFonts w:ascii="Garamond" w:hAnsi="Garamond"/>
          <w:sz w:val="22"/>
          <w:szCs w:val="22"/>
        </w:rPr>
        <w:t xml:space="preserve">btw en milieubelasting </w:t>
      </w:r>
      <w:r w:rsidRPr="00644B67">
        <w:rPr>
          <w:rFonts w:ascii="Garamond" w:hAnsi="Garamond"/>
          <w:sz w:val="22"/>
          <w:szCs w:val="22"/>
        </w:rPr>
        <w:t>bij</w:t>
      </w:r>
      <w:r>
        <w:rPr>
          <w:rFonts w:ascii="Garamond" w:hAnsi="Garamond"/>
          <w:sz w:val="22"/>
          <w:szCs w:val="22"/>
        </w:rPr>
        <w:t xml:space="preserve"> </w:t>
      </w:r>
      <w:r w:rsidRPr="00644B67">
        <w:rPr>
          <w:rFonts w:ascii="Garamond" w:hAnsi="Garamond"/>
          <w:sz w:val="22"/>
          <w:szCs w:val="22"/>
        </w:rPr>
        <w:t>oninbare vorderingen</w:t>
      </w:r>
      <w:r>
        <w:rPr>
          <w:rFonts w:ascii="Garamond" w:hAnsi="Garamond"/>
          <w:sz w:val="22"/>
          <w:szCs w:val="22"/>
        </w:rPr>
        <w:t xml:space="preserve"> vereenvoudigen. </w:t>
      </w:r>
      <w:r w:rsidRPr="00644B67">
        <w:rPr>
          <w:rFonts w:ascii="Garamond" w:hAnsi="Garamond"/>
          <w:sz w:val="22"/>
          <w:szCs w:val="22"/>
        </w:rPr>
        <w:t xml:space="preserve"> </w:t>
      </w:r>
      <w:r w:rsidRPr="00DF3582">
        <w:rPr>
          <w:rFonts w:ascii="Garamond" w:hAnsi="Garamond"/>
          <w:sz w:val="22"/>
          <w:szCs w:val="22"/>
        </w:rPr>
        <w:t>Anders dan onder de huidige regeling</w:t>
      </w:r>
      <w:r>
        <w:rPr>
          <w:rFonts w:ascii="Garamond" w:hAnsi="Garamond"/>
          <w:sz w:val="22"/>
          <w:szCs w:val="22"/>
        </w:rPr>
        <w:t xml:space="preserve"> </w:t>
      </w:r>
      <w:r w:rsidRPr="00DF3582">
        <w:rPr>
          <w:rFonts w:ascii="Garamond" w:hAnsi="Garamond"/>
          <w:sz w:val="22"/>
          <w:szCs w:val="22"/>
        </w:rPr>
        <w:t>verkrijgt de ondernemer uiterlijk één jaar na het opeisbaar worden van zijn</w:t>
      </w:r>
      <w:r>
        <w:rPr>
          <w:rFonts w:ascii="Garamond" w:hAnsi="Garamond"/>
          <w:sz w:val="22"/>
          <w:szCs w:val="22"/>
        </w:rPr>
        <w:t xml:space="preserve"> </w:t>
      </w:r>
      <w:r w:rsidRPr="00DF3582">
        <w:rPr>
          <w:rFonts w:ascii="Garamond" w:hAnsi="Garamond"/>
          <w:sz w:val="22"/>
          <w:szCs w:val="22"/>
        </w:rPr>
        <w:t>vordering recht op teruggaaf.</w:t>
      </w:r>
      <w:r>
        <w:rPr>
          <w:rFonts w:ascii="Garamond" w:hAnsi="Garamond"/>
          <w:sz w:val="22"/>
          <w:szCs w:val="22"/>
        </w:rPr>
        <w:t xml:space="preserve"> Daarnaast hoeft niet langer een separaat teruggaafverzoek ingediend te worden, maar kan het bedrag van de teruggaaf in mindering worden gebracht op de periodieke aangifte voor de btw of milieubelasting. Betaalt de ondernemer een </w:t>
      </w:r>
      <w:r w:rsidRPr="00B9498C">
        <w:rPr>
          <w:rFonts w:ascii="Garamond" w:hAnsi="Garamond"/>
          <w:sz w:val="22"/>
          <w:szCs w:val="22"/>
        </w:rPr>
        <w:t>vordering die eerder als oninbaar is</w:t>
      </w:r>
      <w:r>
        <w:rPr>
          <w:rFonts w:ascii="Garamond" w:hAnsi="Garamond"/>
          <w:sz w:val="22"/>
          <w:szCs w:val="22"/>
        </w:rPr>
        <w:t xml:space="preserve"> </w:t>
      </w:r>
      <w:r w:rsidRPr="00B9498C">
        <w:rPr>
          <w:rFonts w:ascii="Garamond" w:hAnsi="Garamond"/>
          <w:sz w:val="22"/>
          <w:szCs w:val="22"/>
        </w:rPr>
        <w:t>aangemerkt op een later tijdstip</w:t>
      </w:r>
      <w:r>
        <w:rPr>
          <w:rFonts w:ascii="Garamond" w:hAnsi="Garamond"/>
          <w:sz w:val="22"/>
          <w:szCs w:val="22"/>
        </w:rPr>
        <w:t xml:space="preserve"> alsnog? Dan moet de </w:t>
      </w:r>
      <w:r w:rsidRPr="00B9498C">
        <w:rPr>
          <w:rFonts w:ascii="Garamond" w:hAnsi="Garamond"/>
          <w:sz w:val="22"/>
          <w:szCs w:val="22"/>
        </w:rPr>
        <w:t>eerder op de</w:t>
      </w:r>
      <w:r>
        <w:rPr>
          <w:rFonts w:ascii="Garamond" w:hAnsi="Garamond"/>
          <w:sz w:val="22"/>
          <w:szCs w:val="22"/>
        </w:rPr>
        <w:t xml:space="preserve"> </w:t>
      </w:r>
      <w:r w:rsidRPr="00B9498C">
        <w:rPr>
          <w:rFonts w:ascii="Garamond" w:hAnsi="Garamond"/>
          <w:sz w:val="22"/>
          <w:szCs w:val="22"/>
        </w:rPr>
        <w:t xml:space="preserve">aangifte in mindering gebrachte btw of milieubelasting opnieuw op aangifte </w:t>
      </w:r>
      <w:r>
        <w:rPr>
          <w:rFonts w:ascii="Garamond" w:hAnsi="Garamond"/>
          <w:sz w:val="22"/>
          <w:szCs w:val="22"/>
        </w:rPr>
        <w:t>worden voldaan</w:t>
      </w:r>
      <w:r w:rsidRPr="00B9498C">
        <w:rPr>
          <w:rFonts w:ascii="Garamond" w:hAnsi="Garamond"/>
          <w:sz w:val="22"/>
          <w:szCs w:val="22"/>
        </w:rPr>
        <w:t>.</w:t>
      </w:r>
      <w:r>
        <w:rPr>
          <w:rFonts w:ascii="Garamond" w:hAnsi="Garamond"/>
          <w:sz w:val="22"/>
          <w:szCs w:val="22"/>
        </w:rPr>
        <w:t xml:space="preserve"> De </w:t>
      </w:r>
      <w:proofErr w:type="gramStart"/>
      <w:r>
        <w:rPr>
          <w:rFonts w:ascii="Garamond" w:hAnsi="Garamond"/>
          <w:sz w:val="22"/>
          <w:szCs w:val="22"/>
        </w:rPr>
        <w:t>voorgestelde  teruggaafregeling</w:t>
      </w:r>
      <w:proofErr w:type="gramEnd"/>
      <w:r>
        <w:rPr>
          <w:rFonts w:ascii="Garamond" w:hAnsi="Garamond"/>
          <w:sz w:val="22"/>
          <w:szCs w:val="22"/>
        </w:rPr>
        <w:t xml:space="preserve"> geldt overigens ook als een vordering wordt overgedragen aan een andere onderneming, zoals een factormaatschappij. </w:t>
      </w:r>
    </w:p>
    <w:p w:rsidR="003B5A90" w:rsidRDefault="003B5A90" w:rsidP="003B5A90">
      <w:pPr>
        <w:ind w:left="180"/>
        <w:jc w:val="both"/>
        <w:rPr>
          <w:rFonts w:ascii="Garamond" w:hAnsi="Garamond"/>
          <w:sz w:val="22"/>
          <w:szCs w:val="22"/>
        </w:rPr>
      </w:pPr>
    </w:p>
    <w:p w:rsidR="003B5A90" w:rsidRPr="003B5A90" w:rsidRDefault="003B5A90" w:rsidP="003B5A90">
      <w:pPr>
        <w:ind w:left="180"/>
        <w:jc w:val="both"/>
        <w:rPr>
          <w:rFonts w:ascii="Syntax-Roman" w:hAnsi="Syntax-Roman"/>
          <w:b/>
          <w:sz w:val="22"/>
          <w:szCs w:val="22"/>
        </w:rPr>
      </w:pPr>
      <w:r w:rsidRPr="003B5A90">
        <w:rPr>
          <w:rFonts w:ascii="Syntax-Roman" w:hAnsi="Syntax-Roman"/>
          <w:b/>
          <w:sz w:val="22"/>
          <w:szCs w:val="22"/>
        </w:rPr>
        <w:t>Let op!</w:t>
      </w:r>
    </w:p>
    <w:p w:rsidR="003B5A90" w:rsidRPr="00E1761D" w:rsidRDefault="003B5A90" w:rsidP="003B5A90">
      <w:pPr>
        <w:ind w:left="180"/>
        <w:jc w:val="both"/>
        <w:rPr>
          <w:rFonts w:ascii="Garamond" w:hAnsi="Garamond"/>
          <w:b/>
          <w:sz w:val="22"/>
          <w:szCs w:val="22"/>
        </w:rPr>
      </w:pPr>
      <w:r w:rsidRPr="003B5A90">
        <w:rPr>
          <w:rFonts w:ascii="Syntax-Roman" w:hAnsi="Syntax-Roman"/>
          <w:b/>
          <w:sz w:val="22"/>
          <w:szCs w:val="22"/>
        </w:rPr>
        <w:t>Voor de afnemer wordt de termijn waarna bij niet-betaling de eerder in aftrek gebrachte btw moet worden gecorrigeerd, teruggebracht van twee naar één jaar. Dit is in lijn met de termijn van één jaar waarna recht op teruggaaf ontstaat bij de ondernemer die het goed of de dienst heeft geleverd.</w:t>
      </w:r>
    </w:p>
    <w:p w:rsidR="003B5A90" w:rsidRPr="00644B67" w:rsidRDefault="003B5A90" w:rsidP="003B5A90">
      <w:pPr>
        <w:ind w:left="180"/>
        <w:jc w:val="both"/>
        <w:rPr>
          <w:rFonts w:ascii="Garamond" w:hAnsi="Garamond"/>
          <w:sz w:val="22"/>
          <w:szCs w:val="22"/>
        </w:rPr>
      </w:pPr>
      <w:r>
        <w:rPr>
          <w:rFonts w:ascii="Garamond" w:hAnsi="Garamond"/>
          <w:sz w:val="22"/>
          <w:szCs w:val="22"/>
        </w:rPr>
        <w:t xml:space="preserve">  </w:t>
      </w:r>
    </w:p>
    <w:p w:rsidR="003B5A90" w:rsidRDefault="003B5A90" w:rsidP="003B5A90">
      <w:pPr>
        <w:ind w:left="180"/>
        <w:jc w:val="both"/>
        <w:rPr>
          <w:rFonts w:ascii="Syntax-Roman" w:hAnsi="Syntax-Roman"/>
          <w:b/>
          <w:sz w:val="22"/>
        </w:rPr>
      </w:pPr>
      <w:r>
        <w:rPr>
          <w:rFonts w:ascii="Syntax-Roman" w:hAnsi="Syntax-Roman"/>
          <w:b/>
          <w:sz w:val="22"/>
        </w:rPr>
        <w:t xml:space="preserve">Aanpassing wijnaccijnzen en accijnscontroles </w:t>
      </w:r>
    </w:p>
    <w:p w:rsidR="003B5A90" w:rsidRPr="004B044E" w:rsidRDefault="003B5A90" w:rsidP="003B5A90">
      <w:pPr>
        <w:ind w:left="180"/>
        <w:jc w:val="both"/>
        <w:rPr>
          <w:rFonts w:ascii="Garamond" w:hAnsi="Garamond"/>
          <w:sz w:val="22"/>
          <w:szCs w:val="22"/>
        </w:rPr>
      </w:pPr>
      <w:r w:rsidRPr="00626F42">
        <w:rPr>
          <w:rFonts w:ascii="Garamond" w:hAnsi="Garamond"/>
          <w:sz w:val="22"/>
          <w:szCs w:val="22"/>
        </w:rPr>
        <w:t xml:space="preserve">De in de Wet UFM </w:t>
      </w:r>
      <w:r>
        <w:rPr>
          <w:rFonts w:ascii="Garamond" w:hAnsi="Garamond"/>
          <w:sz w:val="22"/>
          <w:szCs w:val="22"/>
        </w:rPr>
        <w:t xml:space="preserve">2013 </w:t>
      </w:r>
      <w:r w:rsidRPr="00626F42">
        <w:rPr>
          <w:rFonts w:ascii="Garamond" w:hAnsi="Garamond"/>
          <w:sz w:val="22"/>
          <w:szCs w:val="22"/>
        </w:rPr>
        <w:t xml:space="preserve">opgenomen wijnaccijnstarieven worden </w:t>
      </w:r>
      <w:r>
        <w:rPr>
          <w:rFonts w:ascii="Garamond" w:hAnsi="Garamond"/>
          <w:sz w:val="22"/>
          <w:szCs w:val="22"/>
        </w:rPr>
        <w:t>gecorrigeerd</w:t>
      </w:r>
      <w:r w:rsidRPr="00626F42">
        <w:rPr>
          <w:rFonts w:ascii="Garamond" w:hAnsi="Garamond"/>
          <w:sz w:val="22"/>
          <w:szCs w:val="22"/>
        </w:rPr>
        <w:t>. Daarnaast wordt de huidige teruggaafregeling voor biobrandstoffen in de Wet op de accijns uitgebreid met hernieuwbare brandstoffen, zoals hernieuwbare methanol. Tevens stelt het kabinet voor in de Wet op de accijns een bepaling op te nemen om de benodigde apparatuur of dieren te mogen gebruiken bij controles</w:t>
      </w:r>
      <w:r>
        <w:rPr>
          <w:rFonts w:ascii="Garamond" w:hAnsi="Garamond"/>
          <w:sz w:val="22"/>
          <w:szCs w:val="22"/>
        </w:rPr>
        <w:t>. Daarvoor is niet langer de toestemming van de belanghebbende nodig.</w:t>
      </w:r>
      <w:r w:rsidRPr="00626F42">
        <w:rPr>
          <w:rFonts w:ascii="Garamond" w:hAnsi="Garamond"/>
          <w:sz w:val="22"/>
          <w:szCs w:val="22"/>
        </w:rPr>
        <w:t xml:space="preserve"> </w:t>
      </w:r>
    </w:p>
    <w:p w:rsidR="003B5A90" w:rsidRDefault="003B5A90" w:rsidP="003B5A90">
      <w:pPr>
        <w:ind w:left="180"/>
        <w:jc w:val="both"/>
        <w:rPr>
          <w:rFonts w:ascii="Syntax-Roman" w:hAnsi="Syntax-Roman"/>
          <w:b/>
          <w:sz w:val="22"/>
        </w:rPr>
      </w:pPr>
    </w:p>
    <w:p w:rsidR="003B5A90" w:rsidRPr="004B044E" w:rsidRDefault="003B5A90" w:rsidP="003B5A90">
      <w:pPr>
        <w:ind w:left="180"/>
        <w:jc w:val="both"/>
        <w:rPr>
          <w:rFonts w:ascii="Syntax-Roman" w:hAnsi="Syntax-Roman"/>
          <w:b/>
          <w:sz w:val="22"/>
        </w:rPr>
      </w:pPr>
      <w:r w:rsidRPr="00236A6F">
        <w:rPr>
          <w:rFonts w:ascii="Syntax-Roman" w:hAnsi="Syntax-Roman"/>
          <w:b/>
          <w:sz w:val="22"/>
        </w:rPr>
        <w:t>Vereenvoudiging accijn</w:t>
      </w:r>
      <w:r>
        <w:rPr>
          <w:rFonts w:ascii="Syntax-Roman" w:hAnsi="Syntax-Roman"/>
          <w:b/>
          <w:sz w:val="22"/>
        </w:rPr>
        <w:t>zen</w:t>
      </w:r>
    </w:p>
    <w:p w:rsidR="003B5A90" w:rsidRPr="00A238BC" w:rsidRDefault="003B5A90" w:rsidP="003B5A90">
      <w:pPr>
        <w:ind w:left="180"/>
        <w:jc w:val="both"/>
        <w:rPr>
          <w:rFonts w:ascii="Garamond" w:hAnsi="Garamond"/>
          <w:sz w:val="22"/>
          <w:szCs w:val="22"/>
        </w:rPr>
      </w:pPr>
      <w:r w:rsidRPr="00A238BC">
        <w:rPr>
          <w:rFonts w:ascii="Garamond" w:hAnsi="Garamond"/>
          <w:sz w:val="22"/>
          <w:szCs w:val="22"/>
        </w:rPr>
        <w:t>De structuur en tarifering van de accijns op tabaksproducten en de regelgeving om voorraadvorming voorafgaand aan de ingangsdatum van tariefverhogingen tegen te gaan, wordt aangepast. Zo wil het kabinet voor rooktabak de ad-</w:t>
      </w:r>
      <w:proofErr w:type="spellStart"/>
      <w:r w:rsidRPr="00A238BC">
        <w:rPr>
          <w:rFonts w:ascii="Garamond" w:hAnsi="Garamond"/>
          <w:sz w:val="22"/>
          <w:szCs w:val="22"/>
        </w:rPr>
        <w:t>valoremaccijns</w:t>
      </w:r>
      <w:proofErr w:type="spellEnd"/>
      <w:r w:rsidRPr="00A238BC">
        <w:rPr>
          <w:rFonts w:ascii="Garamond" w:hAnsi="Garamond"/>
          <w:sz w:val="22"/>
          <w:szCs w:val="22"/>
        </w:rPr>
        <w:t xml:space="preserve"> laten vervallen. Verder mogen nog tot de eerste dag van de tweede kalendermaand na de kalendermaand van inwerkingtreding van nieuwe accijnstarieven</w:t>
      </w:r>
      <w:r>
        <w:rPr>
          <w:rFonts w:ascii="Garamond" w:hAnsi="Garamond"/>
          <w:sz w:val="22"/>
          <w:szCs w:val="22"/>
        </w:rPr>
        <w:t>,</w:t>
      </w:r>
      <w:r w:rsidRPr="00A238BC">
        <w:rPr>
          <w:rFonts w:ascii="Garamond" w:hAnsi="Garamond"/>
          <w:sz w:val="22"/>
          <w:szCs w:val="22"/>
        </w:rPr>
        <w:t xml:space="preserve"> door fabrikanten en groothandelaren sigaretten en rooktabak die zijn voorzien van oude accijnszegels (en waarover dus al accijns is betaald) worden verkocht en afgeleverd aan de detailhandel. Dit betreft de anti-voorraadvormingsbepaling</w:t>
      </w:r>
      <w:r>
        <w:rPr>
          <w:rFonts w:ascii="Garamond" w:hAnsi="Garamond"/>
          <w:sz w:val="22"/>
          <w:szCs w:val="22"/>
        </w:rPr>
        <w:t xml:space="preserve">. </w:t>
      </w:r>
    </w:p>
    <w:p w:rsidR="003B5A90" w:rsidRDefault="003B5A90" w:rsidP="003B5A90">
      <w:pPr>
        <w:ind w:left="180"/>
        <w:jc w:val="both"/>
        <w:rPr>
          <w:rFonts w:ascii="Garamond" w:hAnsi="Garamond"/>
          <w:sz w:val="22"/>
          <w:szCs w:val="22"/>
        </w:rPr>
      </w:pPr>
    </w:p>
    <w:p w:rsidR="003B5A90" w:rsidRPr="003B5A90" w:rsidRDefault="003B5A90" w:rsidP="003B5A90">
      <w:pPr>
        <w:ind w:left="180"/>
        <w:jc w:val="both"/>
        <w:rPr>
          <w:rFonts w:ascii="Syntax-Roman" w:hAnsi="Syntax-Roman"/>
          <w:b/>
          <w:sz w:val="22"/>
          <w:szCs w:val="22"/>
        </w:rPr>
      </w:pPr>
      <w:r w:rsidRPr="003B5A90">
        <w:rPr>
          <w:rFonts w:ascii="Syntax-Roman" w:hAnsi="Syntax-Roman"/>
          <w:b/>
          <w:sz w:val="22"/>
          <w:szCs w:val="22"/>
        </w:rPr>
        <w:t>Let op!</w:t>
      </w:r>
    </w:p>
    <w:p w:rsidR="003B5A90" w:rsidRPr="003B5A90" w:rsidRDefault="003B5A90" w:rsidP="003B5A90">
      <w:pPr>
        <w:ind w:left="180"/>
        <w:jc w:val="both"/>
        <w:rPr>
          <w:rFonts w:ascii="Syntax-Roman" w:hAnsi="Syntax-Roman"/>
          <w:b/>
          <w:sz w:val="22"/>
          <w:szCs w:val="22"/>
        </w:rPr>
      </w:pPr>
      <w:r w:rsidRPr="003B5A90">
        <w:rPr>
          <w:rFonts w:ascii="Syntax-Roman" w:hAnsi="Syntax-Roman"/>
          <w:b/>
          <w:sz w:val="22"/>
          <w:szCs w:val="22"/>
        </w:rPr>
        <w:t>De anti-voorraadvormingsbepaling zal niet van toepassing zijn op sigaren en pijptabak.</w:t>
      </w:r>
    </w:p>
    <w:p w:rsidR="00532BE0" w:rsidRDefault="00532BE0" w:rsidP="00C264EE">
      <w:pPr>
        <w:ind w:left="180"/>
        <w:jc w:val="both"/>
        <w:rPr>
          <w:rFonts w:ascii="Syntax-Roman" w:hAnsi="Syntax-Roman"/>
          <w:b/>
          <w:sz w:val="22"/>
          <w:szCs w:val="22"/>
        </w:rPr>
      </w:pPr>
    </w:p>
    <w:p w:rsidR="00ED1401" w:rsidRDefault="00ED1401" w:rsidP="00C264EE">
      <w:pPr>
        <w:ind w:left="180"/>
        <w:jc w:val="both"/>
        <w:rPr>
          <w:rFonts w:ascii="Syntax-Roman" w:hAnsi="Syntax-Roman"/>
          <w:b/>
          <w:sz w:val="22"/>
          <w:szCs w:val="22"/>
        </w:rPr>
      </w:pPr>
    </w:p>
    <w:p w:rsidR="00C264EE" w:rsidRPr="00532BE0" w:rsidRDefault="006A52E6" w:rsidP="00532BE0">
      <w:pPr>
        <w:ind w:left="180"/>
        <w:jc w:val="both"/>
        <w:rPr>
          <w:rFonts w:ascii="Syntax-Roman" w:hAnsi="Syntax-Roman"/>
          <w:b/>
          <w:sz w:val="22"/>
          <w:szCs w:val="22"/>
        </w:rPr>
      </w:pPr>
      <w:r>
        <w:rPr>
          <w:rFonts w:ascii="Syntax-Roman" w:hAnsi="Syntax-Roman"/>
          <w:b/>
          <w:sz w:val="22"/>
          <w:szCs w:val="22"/>
        </w:rPr>
        <w:t>FISCALE PENSIOENMAATREGELEN</w:t>
      </w:r>
    </w:p>
    <w:p w:rsidR="00C264EE" w:rsidRPr="00532BE0" w:rsidRDefault="00C264EE" w:rsidP="00532BE0">
      <w:pPr>
        <w:jc w:val="both"/>
        <w:rPr>
          <w:rFonts w:ascii="Syntax-Roman" w:hAnsi="Syntax-Roman"/>
          <w:b/>
          <w:sz w:val="22"/>
          <w:szCs w:val="22"/>
        </w:rPr>
      </w:pPr>
    </w:p>
    <w:p w:rsidR="006A52E6" w:rsidRDefault="006A52E6" w:rsidP="006A52E6">
      <w:pPr>
        <w:ind w:left="180"/>
        <w:jc w:val="both"/>
        <w:rPr>
          <w:rFonts w:ascii="Syntax-Roman" w:hAnsi="Syntax-Roman"/>
          <w:b/>
          <w:sz w:val="22"/>
        </w:rPr>
      </w:pPr>
      <w:r w:rsidRPr="006A52E6">
        <w:rPr>
          <w:rFonts w:ascii="Syntax-Roman" w:hAnsi="Syntax-Roman"/>
          <w:b/>
          <w:sz w:val="22"/>
        </w:rPr>
        <w:t>Afsch</w:t>
      </w:r>
      <w:r>
        <w:rPr>
          <w:rFonts w:ascii="Syntax-Roman" w:hAnsi="Syntax-Roman"/>
          <w:b/>
          <w:sz w:val="22"/>
        </w:rPr>
        <w:t>affing pensioen in eigen beheer</w:t>
      </w:r>
    </w:p>
    <w:p w:rsidR="006A52E6" w:rsidRPr="006A52E6" w:rsidRDefault="006A52E6" w:rsidP="006A52E6">
      <w:pPr>
        <w:ind w:left="180"/>
        <w:jc w:val="both"/>
        <w:rPr>
          <w:rFonts w:ascii="Garamond" w:hAnsi="Garamond"/>
          <w:sz w:val="22"/>
        </w:rPr>
      </w:pPr>
      <w:r w:rsidRPr="006A52E6">
        <w:rPr>
          <w:rFonts w:ascii="Garamond" w:hAnsi="Garamond"/>
          <w:sz w:val="22"/>
        </w:rPr>
        <w:t>Naast het Belastingplan 2017 heeft de regering op Prinsjesdag een belangrijk wetsvoorstel ingediend dat een einde maakt aan het ‘pensioen in eigen beheer’. Met ingang van 2017 is het voor een directeur-grootaandeelhouder (‘DGA’) niet meer mogelijk pensioen in eigen beheer op te bouwen. Ook mag binnen een bestaande regeling geen toevoeging aan de pensioenvoorziening meer plaatsvinden, behoudens eventuele indexatie van de verplich</w:t>
      </w:r>
      <w:r w:rsidRPr="006A52E6">
        <w:rPr>
          <w:rFonts w:ascii="Garamond" w:hAnsi="Garamond"/>
          <w:sz w:val="22"/>
        </w:rPr>
        <w:lastRenderedPageBreak/>
        <w:t xml:space="preserve">ting. Naar schatting 140.000 </w:t>
      </w:r>
      <w:proofErr w:type="spellStart"/>
      <w:r w:rsidRPr="006A52E6">
        <w:rPr>
          <w:rFonts w:ascii="Garamond" w:hAnsi="Garamond"/>
          <w:sz w:val="22"/>
        </w:rPr>
        <w:t>DGA’s</w:t>
      </w:r>
      <w:proofErr w:type="spellEnd"/>
      <w:r w:rsidRPr="006A52E6">
        <w:rPr>
          <w:rFonts w:ascii="Garamond" w:hAnsi="Garamond"/>
          <w:sz w:val="22"/>
        </w:rPr>
        <w:t xml:space="preserve"> hebben een dergelijke regeling.</w:t>
      </w:r>
    </w:p>
    <w:p w:rsidR="006A52E6" w:rsidRPr="006A52E6" w:rsidRDefault="006A52E6" w:rsidP="006A52E6">
      <w:pPr>
        <w:ind w:left="180"/>
        <w:jc w:val="both"/>
        <w:rPr>
          <w:rFonts w:ascii="Garamond" w:hAnsi="Garamond"/>
          <w:sz w:val="22"/>
        </w:rPr>
      </w:pPr>
    </w:p>
    <w:p w:rsidR="006A52E6" w:rsidRPr="006A52E6" w:rsidRDefault="006A52E6" w:rsidP="006A52E6">
      <w:pPr>
        <w:ind w:left="180"/>
        <w:jc w:val="both"/>
        <w:rPr>
          <w:rFonts w:ascii="Garamond" w:hAnsi="Garamond"/>
          <w:sz w:val="22"/>
        </w:rPr>
      </w:pPr>
      <w:r w:rsidRPr="006A52E6">
        <w:rPr>
          <w:rFonts w:ascii="Garamond" w:hAnsi="Garamond"/>
          <w:sz w:val="22"/>
        </w:rPr>
        <w:t xml:space="preserve">De directeur-grootaandeelhouder met een bestaande pensioenregeling in eigen beheer krijgt drie mogelijkheden. De bestaande regeling kan blijven bestaan, het pensioen kan worden afgekocht of de bestaande pensioenvoorziening kan worden omgezet in een zogeheten </w:t>
      </w:r>
      <w:proofErr w:type="spellStart"/>
      <w:r w:rsidRPr="006A52E6">
        <w:rPr>
          <w:rFonts w:ascii="Garamond" w:hAnsi="Garamond"/>
          <w:sz w:val="22"/>
        </w:rPr>
        <w:t>Oudedagsverplichting</w:t>
      </w:r>
      <w:proofErr w:type="spellEnd"/>
      <w:r w:rsidRPr="006A52E6">
        <w:rPr>
          <w:rFonts w:ascii="Garamond" w:hAnsi="Garamond"/>
          <w:sz w:val="22"/>
        </w:rPr>
        <w:t xml:space="preserve"> (ODV). Blijft de regeling in stand, dan wordt de pensioenvoorziening ‘bevroren’, en blijven de regels zoals die voorheen golden van kracht: op de overeengekomen datum gaan de uitkeringen in en daarop wordt loonheffing ingehouden.</w:t>
      </w:r>
    </w:p>
    <w:p w:rsidR="006A52E6" w:rsidRPr="006A52E6" w:rsidRDefault="006A52E6" w:rsidP="006A52E6">
      <w:pPr>
        <w:ind w:left="180"/>
        <w:jc w:val="both"/>
        <w:rPr>
          <w:rFonts w:ascii="Syntax-Roman" w:hAnsi="Syntax-Roman"/>
          <w:sz w:val="22"/>
        </w:rPr>
      </w:pPr>
    </w:p>
    <w:p w:rsidR="006A52E6" w:rsidRPr="006A52E6" w:rsidRDefault="006A52E6" w:rsidP="006A52E6">
      <w:pPr>
        <w:ind w:left="180"/>
        <w:jc w:val="both"/>
        <w:rPr>
          <w:rFonts w:ascii="Syntax-Roman" w:hAnsi="Syntax-Roman"/>
          <w:b/>
          <w:sz w:val="22"/>
        </w:rPr>
      </w:pPr>
      <w:r w:rsidRPr="006A52E6">
        <w:rPr>
          <w:rFonts w:ascii="Syntax-Roman" w:hAnsi="Syntax-Roman"/>
          <w:b/>
          <w:sz w:val="22"/>
        </w:rPr>
        <w:t>Overige fiscale pensioenmaatregelen</w:t>
      </w:r>
    </w:p>
    <w:p w:rsidR="00C264EE" w:rsidRPr="006A52E6" w:rsidRDefault="006A52E6" w:rsidP="006A52E6">
      <w:pPr>
        <w:ind w:left="180"/>
        <w:jc w:val="both"/>
        <w:rPr>
          <w:rFonts w:ascii="Garamond" w:hAnsi="Garamond"/>
          <w:sz w:val="22"/>
          <w:szCs w:val="22"/>
        </w:rPr>
      </w:pPr>
      <w:r w:rsidRPr="006A52E6">
        <w:rPr>
          <w:rFonts w:ascii="Garamond" w:hAnsi="Garamond"/>
          <w:sz w:val="22"/>
        </w:rPr>
        <w:t xml:space="preserve">Het wetsvoorstel bevat nog een aantal maatregelen die niet zien op pensioen in eigen beheer. Zo is het in de toekomst niet meer noodzakelijk een pensioen actuarieel te herrekenen wanneer dit ingaat voor het bereiken van de 67-jarige leeftijd, namelijk op de eerste dag van de maand waarin men 67 wordt. Dit scheelt administratieve lasten voor pensioenuitvoerders. De eis dat een pensioenuitkering niet mag uitgaan boven 100% van het laatstverdiende pensioengevend loon, die in de praktijk nauwelijks nut heeft, vervalt. Ook de eis dat pensioen alleen later dan de pensioenleeftijd mag ingaan als men in de tussentijd in dienst blijft, vervalt. Hierdoor zijn werknemers vrijer in de keuze van de ingangsdatum van het pensioen, zolang het pensioen maar ingaat uiterlijk vijf jaar nadat men de pensioengerechtigde leeftijd bereikt. Tot slot maakt het kabinet het weer mogelijk een </w:t>
      </w:r>
      <w:proofErr w:type="spellStart"/>
      <w:r w:rsidRPr="006A52E6">
        <w:rPr>
          <w:rFonts w:ascii="Garamond" w:hAnsi="Garamond"/>
          <w:sz w:val="22"/>
        </w:rPr>
        <w:t>nabestaandenoverbruggingspensioen</w:t>
      </w:r>
      <w:proofErr w:type="spellEnd"/>
      <w:r w:rsidRPr="006A52E6">
        <w:rPr>
          <w:rFonts w:ascii="Garamond" w:hAnsi="Garamond"/>
          <w:sz w:val="22"/>
        </w:rPr>
        <w:t xml:space="preserve"> voor </w:t>
      </w:r>
      <w:proofErr w:type="spellStart"/>
      <w:r w:rsidRPr="006A52E6">
        <w:rPr>
          <w:rFonts w:ascii="Garamond" w:hAnsi="Garamond"/>
          <w:sz w:val="22"/>
        </w:rPr>
        <w:t>halfwezen</w:t>
      </w:r>
      <w:proofErr w:type="spellEnd"/>
      <w:r w:rsidRPr="006A52E6">
        <w:rPr>
          <w:rFonts w:ascii="Garamond" w:hAnsi="Garamond"/>
          <w:sz w:val="22"/>
        </w:rPr>
        <w:t xml:space="preserve"> op te bouwen.</w:t>
      </w:r>
    </w:p>
    <w:p w:rsidR="00C264EE" w:rsidRDefault="00C264EE" w:rsidP="005A6635">
      <w:pPr>
        <w:ind w:left="180"/>
        <w:jc w:val="both"/>
        <w:rPr>
          <w:rFonts w:ascii="Syntax-Roman" w:hAnsi="Syntax-Roman"/>
          <w:b/>
          <w:sz w:val="22"/>
          <w:szCs w:val="22"/>
        </w:rPr>
      </w:pPr>
    </w:p>
    <w:p w:rsidR="00ED1401" w:rsidRDefault="00ED1401" w:rsidP="005A6635">
      <w:pPr>
        <w:ind w:left="180"/>
        <w:jc w:val="both"/>
        <w:rPr>
          <w:rFonts w:ascii="Syntax-Roman" w:hAnsi="Syntax-Roman"/>
          <w:b/>
          <w:sz w:val="22"/>
          <w:szCs w:val="22"/>
        </w:rPr>
      </w:pPr>
    </w:p>
    <w:p w:rsidR="00C264EE" w:rsidRDefault="00C264EE" w:rsidP="00C264EE">
      <w:pPr>
        <w:ind w:left="180"/>
        <w:jc w:val="both"/>
        <w:rPr>
          <w:rFonts w:ascii="Syntax-Roman" w:hAnsi="Syntax-Roman"/>
          <w:b/>
          <w:sz w:val="22"/>
          <w:szCs w:val="22"/>
        </w:rPr>
      </w:pPr>
      <w:r w:rsidRPr="006A13EA">
        <w:rPr>
          <w:rFonts w:ascii="Syntax-Roman" w:hAnsi="Syntax-Roman"/>
          <w:b/>
          <w:sz w:val="22"/>
          <w:szCs w:val="22"/>
        </w:rPr>
        <w:t>OVERIGE MAATREGELEN</w:t>
      </w:r>
    </w:p>
    <w:p w:rsidR="0092577C" w:rsidRDefault="0092577C" w:rsidP="00C264EE">
      <w:pPr>
        <w:ind w:left="180"/>
        <w:jc w:val="both"/>
        <w:rPr>
          <w:rFonts w:ascii="Syntax-Roman" w:hAnsi="Syntax-Roman"/>
          <w:b/>
          <w:sz w:val="22"/>
          <w:szCs w:val="22"/>
        </w:rPr>
      </w:pPr>
    </w:p>
    <w:p w:rsidR="009A4022" w:rsidRDefault="009A4022" w:rsidP="009A4022">
      <w:pPr>
        <w:ind w:left="180"/>
        <w:jc w:val="both"/>
        <w:rPr>
          <w:rFonts w:ascii="Syntax-Roman" w:hAnsi="Syntax-Roman"/>
          <w:b/>
          <w:sz w:val="22"/>
        </w:rPr>
      </w:pPr>
      <w:r>
        <w:rPr>
          <w:rFonts w:ascii="Syntax-Roman" w:hAnsi="Syntax-Roman"/>
          <w:b/>
          <w:sz w:val="22"/>
        </w:rPr>
        <w:t xml:space="preserve">Einde aftrek onderhoud </w:t>
      </w:r>
      <w:r w:rsidRPr="00D619B9">
        <w:rPr>
          <w:rFonts w:ascii="Syntax-Roman" w:hAnsi="Syntax-Roman"/>
          <w:b/>
          <w:sz w:val="22"/>
        </w:rPr>
        <w:t>monumenten</w:t>
      </w:r>
    </w:p>
    <w:p w:rsidR="009A4022" w:rsidRDefault="009A4022" w:rsidP="009A4022">
      <w:pPr>
        <w:ind w:left="180"/>
        <w:jc w:val="both"/>
        <w:rPr>
          <w:rFonts w:ascii="Garamond" w:hAnsi="Garamond"/>
          <w:sz w:val="22"/>
        </w:rPr>
      </w:pPr>
      <w:r w:rsidRPr="00D619B9">
        <w:rPr>
          <w:rFonts w:ascii="Garamond" w:hAnsi="Garamond"/>
          <w:sz w:val="22"/>
        </w:rPr>
        <w:t xml:space="preserve">De regeling die particuliere eigenaren van rijksmonumenten in staat stelt kosten van onderhoud fiscaal in aftrek te brengen, wordt per 2017 beëindigd. Eigenaren van rijksmonumenten die reeds onomkeerbare financiële verplichtingen zijn aangegaan worden tegemoet </w:t>
      </w:r>
      <w:r>
        <w:rPr>
          <w:rFonts w:ascii="Garamond" w:hAnsi="Garamond"/>
          <w:sz w:val="22"/>
        </w:rPr>
        <w:t>ge</w:t>
      </w:r>
      <w:r w:rsidRPr="00D619B9">
        <w:rPr>
          <w:rFonts w:ascii="Garamond" w:hAnsi="Garamond"/>
          <w:sz w:val="22"/>
        </w:rPr>
        <w:t xml:space="preserve">komen met een </w:t>
      </w:r>
      <w:r>
        <w:rPr>
          <w:rFonts w:ascii="Garamond" w:hAnsi="Garamond"/>
          <w:sz w:val="22"/>
        </w:rPr>
        <w:t xml:space="preserve">niet-fiscale </w:t>
      </w:r>
      <w:r w:rsidRPr="00D619B9">
        <w:rPr>
          <w:rFonts w:ascii="Garamond" w:hAnsi="Garamond"/>
          <w:sz w:val="22"/>
        </w:rPr>
        <w:t xml:space="preserve">overgangsregeling </w:t>
      </w:r>
      <w:proofErr w:type="gramStart"/>
      <w:r w:rsidRPr="00D619B9">
        <w:rPr>
          <w:rFonts w:ascii="Garamond" w:hAnsi="Garamond"/>
          <w:sz w:val="22"/>
        </w:rPr>
        <w:t>voor  2017</w:t>
      </w:r>
      <w:proofErr w:type="gramEnd"/>
      <w:r w:rsidRPr="00D619B9">
        <w:rPr>
          <w:rFonts w:ascii="Garamond" w:hAnsi="Garamond"/>
          <w:sz w:val="22"/>
        </w:rPr>
        <w:t xml:space="preserve"> en 2018 ter waarde van € 32 miljoen</w:t>
      </w:r>
      <w:r w:rsidR="008E473F">
        <w:rPr>
          <w:rFonts w:ascii="Garamond" w:hAnsi="Garamond"/>
          <w:sz w:val="22"/>
        </w:rPr>
        <w:t xml:space="preserve"> per jaar</w:t>
      </w:r>
      <w:r w:rsidRPr="00D619B9">
        <w:rPr>
          <w:rFonts w:ascii="Garamond" w:hAnsi="Garamond"/>
          <w:sz w:val="22"/>
        </w:rPr>
        <w:t>. Vanaf 2019 zal hetzelfde jaarlijkse bedrag structureel worden ingezet binnen een herijkt financieringsstelsel voor monumentenzorg.</w:t>
      </w:r>
    </w:p>
    <w:p w:rsidR="009A4022" w:rsidRPr="00D619B9" w:rsidRDefault="009A4022" w:rsidP="009A4022">
      <w:pPr>
        <w:ind w:left="180"/>
        <w:jc w:val="both"/>
        <w:rPr>
          <w:rFonts w:ascii="Garamond" w:hAnsi="Garamond"/>
          <w:sz w:val="22"/>
        </w:rPr>
      </w:pPr>
    </w:p>
    <w:p w:rsidR="009A4022" w:rsidRPr="00D619B9" w:rsidRDefault="00E74721" w:rsidP="009A4022">
      <w:pPr>
        <w:ind w:left="180"/>
        <w:jc w:val="both"/>
        <w:rPr>
          <w:rFonts w:ascii="Syntax-Roman" w:hAnsi="Syntax-Roman"/>
          <w:b/>
          <w:sz w:val="22"/>
        </w:rPr>
      </w:pPr>
      <w:r>
        <w:rPr>
          <w:rFonts w:ascii="Syntax-Roman" w:hAnsi="Syntax-Roman"/>
          <w:b/>
          <w:sz w:val="22"/>
        </w:rPr>
        <w:t>Tip</w:t>
      </w:r>
    </w:p>
    <w:p w:rsidR="009A4022" w:rsidRPr="00D619B9" w:rsidRDefault="009A4022" w:rsidP="009A4022">
      <w:pPr>
        <w:ind w:left="180"/>
        <w:jc w:val="both"/>
        <w:rPr>
          <w:rFonts w:ascii="Syntax-Roman" w:hAnsi="Syntax-Roman"/>
          <w:b/>
          <w:sz w:val="22"/>
        </w:rPr>
      </w:pPr>
      <w:r w:rsidRPr="00D619B9">
        <w:rPr>
          <w:rFonts w:ascii="Syntax-Roman" w:hAnsi="Syntax-Roman"/>
          <w:b/>
          <w:sz w:val="22"/>
        </w:rPr>
        <w:t xml:space="preserve">Voor grootschalige ingrepen zijn ook andere faciliteiten beschikbaar, zoals het provinciale restauratiebudget van jaarlijks </w:t>
      </w:r>
      <w:r w:rsidRPr="00D619B9">
        <w:rPr>
          <w:b/>
          <w:sz w:val="22"/>
        </w:rPr>
        <w:t>€</w:t>
      </w:r>
      <w:r w:rsidRPr="00D619B9">
        <w:rPr>
          <w:rFonts w:ascii="Syntax-Roman" w:hAnsi="Syntax-Roman"/>
          <w:b/>
          <w:sz w:val="22"/>
        </w:rPr>
        <w:t xml:space="preserve"> 20 miljoen en laagrentende leningen via het Nationaal Restauratiefonds.</w:t>
      </w:r>
    </w:p>
    <w:p w:rsidR="009A4022" w:rsidRPr="00D619B9" w:rsidRDefault="009A4022" w:rsidP="009A4022">
      <w:pPr>
        <w:ind w:left="180"/>
        <w:jc w:val="both"/>
        <w:rPr>
          <w:rFonts w:ascii="Syntax-Roman" w:hAnsi="Syntax-Roman"/>
          <w:b/>
          <w:sz w:val="22"/>
        </w:rPr>
      </w:pPr>
    </w:p>
    <w:p w:rsidR="009A4022" w:rsidRDefault="009A4022" w:rsidP="009A4022">
      <w:pPr>
        <w:ind w:left="180"/>
        <w:jc w:val="both"/>
        <w:rPr>
          <w:rFonts w:ascii="Syntax-Roman" w:hAnsi="Syntax-Roman"/>
          <w:b/>
          <w:sz w:val="22"/>
        </w:rPr>
      </w:pPr>
      <w:r w:rsidRPr="00D619B9">
        <w:rPr>
          <w:rFonts w:ascii="Syntax-Roman" w:hAnsi="Syntax-Roman"/>
          <w:b/>
          <w:sz w:val="22"/>
        </w:rPr>
        <w:t>Aftr</w:t>
      </w:r>
      <w:r>
        <w:rPr>
          <w:rFonts w:ascii="Syntax-Roman" w:hAnsi="Syntax-Roman"/>
          <w:b/>
          <w:sz w:val="22"/>
        </w:rPr>
        <w:t>ek scholingsuitgaven verdwijnt</w:t>
      </w:r>
    </w:p>
    <w:p w:rsidR="009A4022" w:rsidRPr="00D619B9" w:rsidRDefault="009A4022" w:rsidP="009A4022">
      <w:pPr>
        <w:ind w:left="180"/>
        <w:jc w:val="both"/>
        <w:rPr>
          <w:rFonts w:ascii="Garamond" w:hAnsi="Garamond"/>
          <w:sz w:val="22"/>
        </w:rPr>
      </w:pPr>
      <w:r>
        <w:rPr>
          <w:rFonts w:ascii="Garamond" w:hAnsi="Garamond"/>
          <w:sz w:val="22"/>
        </w:rPr>
        <w:t>D</w:t>
      </w:r>
      <w:r w:rsidRPr="00D619B9">
        <w:rPr>
          <w:rFonts w:ascii="Garamond" w:hAnsi="Garamond"/>
          <w:sz w:val="22"/>
        </w:rPr>
        <w:t xml:space="preserve">e kostenaftrek voor opleiding of studie gericht op een (toekomstig) beroep zonder recht op studiefinanciering, </w:t>
      </w:r>
      <w:r>
        <w:rPr>
          <w:rFonts w:ascii="Garamond" w:hAnsi="Garamond"/>
          <w:sz w:val="22"/>
        </w:rPr>
        <w:t xml:space="preserve">wordt </w:t>
      </w:r>
      <w:r w:rsidRPr="00D619B9">
        <w:rPr>
          <w:rFonts w:ascii="Garamond" w:hAnsi="Garamond"/>
          <w:sz w:val="22"/>
        </w:rPr>
        <w:t>stop</w:t>
      </w:r>
      <w:r>
        <w:rPr>
          <w:rFonts w:ascii="Garamond" w:hAnsi="Garamond"/>
          <w:sz w:val="22"/>
        </w:rPr>
        <w:t>ge</w:t>
      </w:r>
      <w:r w:rsidRPr="00D619B9">
        <w:rPr>
          <w:rFonts w:ascii="Garamond" w:hAnsi="Garamond"/>
          <w:sz w:val="22"/>
        </w:rPr>
        <w:t xml:space="preserve">zet </w:t>
      </w:r>
      <w:r>
        <w:rPr>
          <w:rFonts w:ascii="Garamond" w:hAnsi="Garamond"/>
          <w:sz w:val="22"/>
        </w:rPr>
        <w:t xml:space="preserve">vanaf 2018. </w:t>
      </w:r>
      <w:r w:rsidRPr="00D619B9">
        <w:rPr>
          <w:rFonts w:ascii="Garamond" w:hAnsi="Garamond"/>
          <w:sz w:val="22"/>
        </w:rPr>
        <w:t>Via de niet-fiscale uitgavenregeling die hiervoor in de plaats moet komen, zal in van 2018 tot 2022 jaarlijks € 90,8 miljoen en daarna structureel € 112 miljoen worden ingezet in de vorm van scholingsvouchers. De doelgroep voor deze regeling zal bestaan uit mensen die minder snel geneigd zijn scholing te volgen</w:t>
      </w:r>
      <w:r>
        <w:rPr>
          <w:rFonts w:ascii="Garamond" w:hAnsi="Garamond"/>
          <w:sz w:val="22"/>
        </w:rPr>
        <w:t xml:space="preserve"> en</w:t>
      </w:r>
      <w:r w:rsidRPr="00D619B9">
        <w:rPr>
          <w:rFonts w:ascii="Garamond" w:hAnsi="Garamond"/>
          <w:sz w:val="22"/>
        </w:rPr>
        <w:t xml:space="preserve"> waar</w:t>
      </w:r>
      <w:r>
        <w:rPr>
          <w:rFonts w:ascii="Garamond" w:hAnsi="Garamond"/>
          <w:sz w:val="22"/>
        </w:rPr>
        <w:t>bij</w:t>
      </w:r>
      <w:r w:rsidRPr="00D619B9">
        <w:rPr>
          <w:rFonts w:ascii="Garamond" w:hAnsi="Garamond"/>
          <w:sz w:val="22"/>
        </w:rPr>
        <w:t xml:space="preserve"> het maatschappelijk belang van scholingsdeelname groot is.</w:t>
      </w:r>
    </w:p>
    <w:p w:rsidR="009A4022" w:rsidRDefault="009A4022" w:rsidP="009A4022">
      <w:pPr>
        <w:jc w:val="both"/>
        <w:rPr>
          <w:rFonts w:ascii="Syntax-Roman" w:hAnsi="Syntax-Roman"/>
          <w:b/>
          <w:sz w:val="22"/>
        </w:rPr>
      </w:pPr>
    </w:p>
    <w:p w:rsidR="009A4022" w:rsidRPr="004B044E" w:rsidRDefault="009A4022" w:rsidP="009A4022">
      <w:pPr>
        <w:ind w:left="180"/>
        <w:jc w:val="both"/>
        <w:rPr>
          <w:rFonts w:ascii="Syntax-Roman" w:hAnsi="Syntax-Roman"/>
          <w:b/>
          <w:sz w:val="22"/>
        </w:rPr>
      </w:pPr>
      <w:r>
        <w:rPr>
          <w:rFonts w:ascii="Syntax-Roman" w:hAnsi="Syntax-Roman"/>
          <w:b/>
          <w:sz w:val="22"/>
        </w:rPr>
        <w:t>Exportheffing afvalstoffenbelasting 0%</w:t>
      </w:r>
    </w:p>
    <w:p w:rsidR="009A4022" w:rsidRPr="004B044E" w:rsidRDefault="009A4022" w:rsidP="009A4022">
      <w:pPr>
        <w:ind w:left="180"/>
        <w:jc w:val="both"/>
        <w:rPr>
          <w:rFonts w:ascii="Garamond" w:hAnsi="Garamond"/>
          <w:sz w:val="22"/>
          <w:szCs w:val="22"/>
        </w:rPr>
      </w:pPr>
      <w:r>
        <w:rPr>
          <w:rFonts w:ascii="Garamond" w:hAnsi="Garamond"/>
          <w:sz w:val="22"/>
          <w:szCs w:val="22"/>
        </w:rPr>
        <w:t>Met ingang van 1 juli 2015 was afvalstoffenbelasting mede verschuldigd voor het verkrijgen van toestemming tot overbrenging van afvalstoffen uit Nederland om deze in het buitenland te laten verbranden. Deze exportheffing bleek Europeesrechtelijk echter niet houdbaar. Vooruitlopend op wetgeving is daarom in maart 2016 bij beleidsbesluit de exportheffing op nihil gesteld, met terugwerkende kracht tot 1 juli 2015. Met het Belastingplan 2017 wordt dit opgenomen in de wet.</w:t>
      </w:r>
    </w:p>
    <w:p w:rsidR="009A4022" w:rsidRDefault="009A4022" w:rsidP="009A4022">
      <w:pPr>
        <w:ind w:left="180"/>
        <w:jc w:val="both"/>
        <w:rPr>
          <w:rFonts w:ascii="Syntax-Roman" w:hAnsi="Syntax-Roman"/>
          <w:b/>
          <w:sz w:val="22"/>
        </w:rPr>
      </w:pPr>
    </w:p>
    <w:p w:rsidR="009A4022" w:rsidRDefault="009A4022" w:rsidP="009A4022">
      <w:pPr>
        <w:ind w:left="180"/>
        <w:jc w:val="both"/>
        <w:rPr>
          <w:rFonts w:ascii="Syntax-Roman" w:hAnsi="Syntax-Roman"/>
          <w:b/>
          <w:sz w:val="22"/>
        </w:rPr>
      </w:pPr>
      <w:r>
        <w:rPr>
          <w:rFonts w:ascii="Syntax-Roman" w:hAnsi="Syntax-Roman"/>
          <w:b/>
          <w:sz w:val="22"/>
        </w:rPr>
        <w:t>Let op!</w:t>
      </w:r>
    </w:p>
    <w:p w:rsidR="009A4022" w:rsidRDefault="009A4022" w:rsidP="009A4022">
      <w:pPr>
        <w:ind w:left="180"/>
        <w:jc w:val="both"/>
        <w:rPr>
          <w:rFonts w:ascii="Syntax-Roman" w:hAnsi="Syntax-Roman"/>
          <w:b/>
          <w:sz w:val="22"/>
        </w:rPr>
      </w:pPr>
      <w:r>
        <w:rPr>
          <w:rFonts w:ascii="Syntax-Roman" w:hAnsi="Syntax-Roman"/>
          <w:b/>
          <w:sz w:val="22"/>
        </w:rPr>
        <w:t xml:space="preserve">Ter compensatie van het wegvallen van de exportheffing, wordt het tarief van de afvalstoffenbelasting voor storten en verbranden met ingang van 2017 verhoogd van </w:t>
      </w:r>
      <w:r>
        <w:rPr>
          <w:b/>
          <w:sz w:val="22"/>
        </w:rPr>
        <w:t>€</w:t>
      </w:r>
      <w:r>
        <w:rPr>
          <w:rFonts w:ascii="Syntax-Roman" w:hAnsi="Syntax-Roman"/>
          <w:b/>
          <w:sz w:val="22"/>
        </w:rPr>
        <w:t xml:space="preserve"> 13,07 naar </w:t>
      </w:r>
      <w:r>
        <w:rPr>
          <w:b/>
          <w:sz w:val="22"/>
        </w:rPr>
        <w:t>€</w:t>
      </w:r>
      <w:r>
        <w:rPr>
          <w:rFonts w:ascii="Syntax-Roman" w:hAnsi="Syntax-Roman"/>
          <w:b/>
          <w:sz w:val="22"/>
        </w:rPr>
        <w:t xml:space="preserve"> 14,22 per 1.000 kilogram.</w:t>
      </w:r>
    </w:p>
    <w:p w:rsidR="009A4022" w:rsidRDefault="009A4022" w:rsidP="009A4022">
      <w:pPr>
        <w:ind w:left="180"/>
        <w:jc w:val="both"/>
        <w:rPr>
          <w:rFonts w:ascii="Syntax-Roman" w:hAnsi="Syntax-Roman"/>
          <w:b/>
          <w:sz w:val="22"/>
        </w:rPr>
      </w:pPr>
    </w:p>
    <w:p w:rsidR="009A4022" w:rsidRDefault="009A4022" w:rsidP="009A4022">
      <w:pPr>
        <w:ind w:left="180"/>
        <w:jc w:val="both"/>
        <w:rPr>
          <w:rFonts w:ascii="Syntax-Roman" w:hAnsi="Syntax-Roman"/>
          <w:b/>
          <w:sz w:val="22"/>
        </w:rPr>
      </w:pPr>
      <w:r>
        <w:rPr>
          <w:rFonts w:ascii="Syntax-Roman" w:hAnsi="Syntax-Roman"/>
          <w:b/>
          <w:sz w:val="22"/>
        </w:rPr>
        <w:t>I</w:t>
      </w:r>
      <w:r w:rsidRPr="005C69DA">
        <w:rPr>
          <w:rFonts w:ascii="Syntax-Roman" w:hAnsi="Syntax-Roman"/>
          <w:b/>
          <w:sz w:val="22"/>
        </w:rPr>
        <w:t xml:space="preserve">nvorderingsregelgeving </w:t>
      </w:r>
      <w:r>
        <w:rPr>
          <w:rFonts w:ascii="Syntax-Roman" w:hAnsi="Syntax-Roman"/>
          <w:b/>
          <w:sz w:val="22"/>
        </w:rPr>
        <w:t>gestroomlijnd</w:t>
      </w:r>
    </w:p>
    <w:p w:rsidR="009A4022" w:rsidRPr="00B47B70" w:rsidRDefault="009A4022" w:rsidP="009A4022">
      <w:pPr>
        <w:ind w:left="180"/>
        <w:jc w:val="both"/>
        <w:rPr>
          <w:rFonts w:ascii="Syntax-Roman" w:hAnsi="Syntax-Roman"/>
          <w:sz w:val="22"/>
        </w:rPr>
      </w:pPr>
      <w:r>
        <w:rPr>
          <w:rFonts w:ascii="Garamond" w:hAnsi="Garamond"/>
          <w:sz w:val="22"/>
          <w:szCs w:val="22"/>
        </w:rPr>
        <w:lastRenderedPageBreak/>
        <w:t>Voor toeslagen geldt momenteel een ander invorderingsregime dan voor belastingen, wat in de praktijk knelpunten oplevert. De invordering voor belastingen en toeslagen wordt daarom gestroomlijnd door het regime voor belastingen zoals vastgelegd in de Invorderingswet 1990 (grotendeels) van toepassing te verklaren op toeslagen. Dit heeft bijvoorbeeld tot gevolg dat bepaalde mensen met een resterende toeslagschuld onder voorwaarden in aanmerking kunnen komen voor kwijtschelding. Het is het streven om de wijzigingen in werking te laten treden op 1 januari 2019.</w:t>
      </w:r>
    </w:p>
    <w:p w:rsidR="009A4022" w:rsidRDefault="009A4022" w:rsidP="009A4022">
      <w:pPr>
        <w:ind w:left="180"/>
        <w:jc w:val="both"/>
        <w:rPr>
          <w:rFonts w:ascii="Garamond" w:hAnsi="Garamond"/>
          <w:sz w:val="22"/>
          <w:szCs w:val="22"/>
        </w:rPr>
      </w:pPr>
    </w:p>
    <w:p w:rsidR="009A4022" w:rsidRPr="00353B12" w:rsidRDefault="009A4022" w:rsidP="009A4022">
      <w:pPr>
        <w:ind w:left="180"/>
        <w:jc w:val="both"/>
        <w:rPr>
          <w:rFonts w:ascii="Syntax-Roman" w:hAnsi="Syntax-Roman"/>
          <w:b/>
          <w:sz w:val="22"/>
        </w:rPr>
      </w:pPr>
      <w:proofErr w:type="spellStart"/>
      <w:r>
        <w:rPr>
          <w:rFonts w:ascii="Syntax-Roman" w:hAnsi="Syntax-Roman"/>
          <w:b/>
          <w:sz w:val="22"/>
        </w:rPr>
        <w:t>D</w:t>
      </w:r>
      <w:r w:rsidRPr="00353B12">
        <w:rPr>
          <w:rFonts w:ascii="Syntax-Roman" w:hAnsi="Syntax-Roman"/>
          <w:b/>
          <w:sz w:val="22"/>
        </w:rPr>
        <w:t>agaangifte</w:t>
      </w:r>
      <w:proofErr w:type="spellEnd"/>
      <w:r w:rsidRPr="00353B12">
        <w:rPr>
          <w:rFonts w:ascii="Syntax-Roman" w:hAnsi="Syntax-Roman"/>
          <w:b/>
          <w:sz w:val="22"/>
        </w:rPr>
        <w:t xml:space="preserve"> kolenbelasting</w:t>
      </w:r>
      <w:r>
        <w:rPr>
          <w:rFonts w:ascii="Syntax-Roman" w:hAnsi="Syntax-Roman"/>
          <w:b/>
          <w:sz w:val="22"/>
        </w:rPr>
        <w:t xml:space="preserve"> vervalt</w:t>
      </w:r>
      <w:r w:rsidRPr="00353B12">
        <w:rPr>
          <w:rFonts w:ascii="Syntax-Roman" w:hAnsi="Syntax-Roman"/>
          <w:b/>
          <w:sz w:val="22"/>
        </w:rPr>
        <w:t xml:space="preserve"> </w:t>
      </w:r>
    </w:p>
    <w:p w:rsidR="009A4022" w:rsidRDefault="009A4022" w:rsidP="009A4022">
      <w:pPr>
        <w:ind w:left="180"/>
        <w:jc w:val="both"/>
        <w:rPr>
          <w:rFonts w:ascii="Garamond" w:hAnsi="Garamond"/>
          <w:sz w:val="22"/>
          <w:szCs w:val="22"/>
        </w:rPr>
      </w:pPr>
      <w:r>
        <w:rPr>
          <w:rFonts w:ascii="Garamond" w:hAnsi="Garamond"/>
          <w:sz w:val="22"/>
          <w:szCs w:val="22"/>
        </w:rPr>
        <w:t xml:space="preserve">Voor de uitslag of invoer van kolen wordt kolenbelasting geheven. </w:t>
      </w:r>
      <w:r w:rsidRPr="000C2C66">
        <w:rPr>
          <w:rFonts w:ascii="Garamond" w:hAnsi="Garamond"/>
          <w:sz w:val="22"/>
          <w:szCs w:val="22"/>
        </w:rPr>
        <w:t xml:space="preserve">Ter zake van </w:t>
      </w:r>
      <w:r>
        <w:rPr>
          <w:rFonts w:ascii="Garamond" w:hAnsi="Garamond"/>
          <w:sz w:val="22"/>
          <w:szCs w:val="22"/>
        </w:rPr>
        <w:t xml:space="preserve">de </w:t>
      </w:r>
      <w:r w:rsidRPr="000C2C66">
        <w:rPr>
          <w:rFonts w:ascii="Garamond" w:hAnsi="Garamond"/>
          <w:sz w:val="22"/>
          <w:szCs w:val="22"/>
        </w:rPr>
        <w:t>uitslag wordt de belasting verschuldigd op het tijdstip van de uitslag</w:t>
      </w:r>
      <w:r>
        <w:rPr>
          <w:rFonts w:ascii="Garamond" w:hAnsi="Garamond"/>
          <w:sz w:val="22"/>
          <w:szCs w:val="22"/>
        </w:rPr>
        <w:t xml:space="preserve"> en moet de belasting uiterlijk op de dag daarna op aangifte zijn voldaan</w:t>
      </w:r>
      <w:r w:rsidRPr="000C2C66">
        <w:rPr>
          <w:rFonts w:ascii="Garamond" w:hAnsi="Garamond"/>
          <w:sz w:val="22"/>
          <w:szCs w:val="22"/>
        </w:rPr>
        <w:t>.</w:t>
      </w:r>
      <w:r>
        <w:rPr>
          <w:rFonts w:ascii="Garamond" w:hAnsi="Garamond"/>
          <w:sz w:val="22"/>
          <w:szCs w:val="22"/>
        </w:rPr>
        <w:t xml:space="preserve"> Aangezien belastingplichtigen in de praktijk zelden </w:t>
      </w:r>
      <w:proofErr w:type="spellStart"/>
      <w:r>
        <w:rPr>
          <w:rFonts w:ascii="Garamond" w:hAnsi="Garamond"/>
          <w:sz w:val="22"/>
          <w:szCs w:val="22"/>
        </w:rPr>
        <w:t>dagaangifte</w:t>
      </w:r>
      <w:proofErr w:type="spellEnd"/>
      <w:r>
        <w:rPr>
          <w:rFonts w:ascii="Garamond" w:hAnsi="Garamond"/>
          <w:sz w:val="22"/>
          <w:szCs w:val="22"/>
        </w:rPr>
        <w:t xml:space="preserve"> doen, schaft het kabinet de </w:t>
      </w:r>
      <w:proofErr w:type="spellStart"/>
      <w:r>
        <w:rPr>
          <w:rFonts w:ascii="Garamond" w:hAnsi="Garamond"/>
          <w:sz w:val="22"/>
          <w:szCs w:val="22"/>
        </w:rPr>
        <w:t>dagaangifte</w:t>
      </w:r>
      <w:proofErr w:type="spellEnd"/>
      <w:r>
        <w:rPr>
          <w:rFonts w:ascii="Garamond" w:hAnsi="Garamond"/>
          <w:sz w:val="22"/>
          <w:szCs w:val="22"/>
        </w:rPr>
        <w:t xml:space="preserve"> voor de kolenbelasting af. </w:t>
      </w:r>
    </w:p>
    <w:p w:rsidR="009A4022" w:rsidRDefault="009A4022" w:rsidP="009A4022">
      <w:pPr>
        <w:ind w:left="180"/>
        <w:jc w:val="both"/>
        <w:rPr>
          <w:rFonts w:ascii="Garamond" w:hAnsi="Garamond"/>
          <w:sz w:val="22"/>
          <w:szCs w:val="22"/>
        </w:rPr>
      </w:pPr>
    </w:p>
    <w:p w:rsidR="009A4022" w:rsidRDefault="009A4022" w:rsidP="009A4022">
      <w:pPr>
        <w:ind w:left="180"/>
        <w:jc w:val="both"/>
        <w:rPr>
          <w:rFonts w:ascii="Syntax-Roman" w:hAnsi="Syntax-Roman"/>
          <w:b/>
          <w:sz w:val="22"/>
        </w:rPr>
      </w:pPr>
      <w:r w:rsidRPr="00270146">
        <w:rPr>
          <w:rFonts w:ascii="Syntax-Roman" w:hAnsi="Syntax-Roman"/>
          <w:b/>
          <w:sz w:val="22"/>
        </w:rPr>
        <w:t>Let op</w:t>
      </w:r>
      <w:r>
        <w:rPr>
          <w:rFonts w:ascii="Syntax-Roman" w:hAnsi="Syntax-Roman"/>
          <w:b/>
          <w:sz w:val="22"/>
        </w:rPr>
        <w:t>!</w:t>
      </w:r>
    </w:p>
    <w:p w:rsidR="009A4022" w:rsidRPr="00270146" w:rsidRDefault="009A4022" w:rsidP="009A4022">
      <w:pPr>
        <w:ind w:left="180"/>
        <w:jc w:val="both"/>
        <w:rPr>
          <w:rFonts w:ascii="Syntax-Roman" w:hAnsi="Syntax-Roman"/>
          <w:b/>
          <w:sz w:val="22"/>
        </w:rPr>
      </w:pPr>
      <w:r>
        <w:rPr>
          <w:rFonts w:ascii="Syntax-Roman" w:hAnsi="Syntax-Roman"/>
          <w:b/>
          <w:sz w:val="22"/>
        </w:rPr>
        <w:t xml:space="preserve">Afschaffing van de </w:t>
      </w:r>
      <w:proofErr w:type="spellStart"/>
      <w:r>
        <w:rPr>
          <w:rFonts w:ascii="Syntax-Roman" w:hAnsi="Syntax-Roman"/>
          <w:b/>
          <w:sz w:val="22"/>
        </w:rPr>
        <w:t>dagaangifte</w:t>
      </w:r>
      <w:proofErr w:type="spellEnd"/>
      <w:r>
        <w:rPr>
          <w:rFonts w:ascii="Syntax-Roman" w:hAnsi="Syntax-Roman"/>
          <w:b/>
          <w:sz w:val="22"/>
        </w:rPr>
        <w:t xml:space="preserve"> betekent niet dat de betrokkene voortaan elke maand of kwartaal aangifte moet doen. Pas na afloop van het tijdvak waarin sprake is geweest van uitslag, moet de belasting op aangifte worden voldaan.</w:t>
      </w:r>
    </w:p>
    <w:p w:rsidR="009A4022" w:rsidRDefault="009A4022" w:rsidP="009A4022">
      <w:pPr>
        <w:ind w:left="180"/>
        <w:jc w:val="both"/>
        <w:rPr>
          <w:rFonts w:ascii="Garamond" w:hAnsi="Garamond"/>
          <w:sz w:val="22"/>
          <w:szCs w:val="22"/>
        </w:rPr>
      </w:pPr>
    </w:p>
    <w:p w:rsidR="009A4022" w:rsidRPr="0053315C" w:rsidRDefault="009A4022" w:rsidP="009A4022">
      <w:pPr>
        <w:ind w:left="180"/>
        <w:jc w:val="both"/>
        <w:rPr>
          <w:rFonts w:ascii="Syntax-Roman" w:hAnsi="Syntax-Roman"/>
          <w:b/>
          <w:sz w:val="22"/>
        </w:rPr>
      </w:pPr>
      <w:r>
        <w:rPr>
          <w:rFonts w:ascii="Syntax-Roman" w:hAnsi="Syntax-Roman"/>
          <w:b/>
          <w:sz w:val="22"/>
        </w:rPr>
        <w:t xml:space="preserve">Bezwaar teruggaaf energiebelasting weer mogelijk </w:t>
      </w:r>
    </w:p>
    <w:p w:rsidR="009A4022" w:rsidRDefault="009A4022" w:rsidP="009A4022">
      <w:pPr>
        <w:ind w:left="180"/>
        <w:jc w:val="both"/>
        <w:rPr>
          <w:rFonts w:ascii="Garamond" w:hAnsi="Garamond"/>
          <w:sz w:val="22"/>
          <w:szCs w:val="22"/>
        </w:rPr>
      </w:pPr>
      <w:r>
        <w:rPr>
          <w:rFonts w:ascii="Garamond" w:hAnsi="Garamond"/>
          <w:sz w:val="22"/>
          <w:szCs w:val="22"/>
        </w:rPr>
        <w:t>Met ingang van 1 januari 2016 is een teruggaafregeling ingevoerd in de energiebelasting voor aardgas dat is geleverd om te worden gebruikt als brandstof voor vaartuigen op communautaire wateren (met inbegrip van de visserij). Omdat toen is vergeten om gelijk vast te leggen dat de beslissing op het teruggaafverzoek wordt genomen bij een voor bezwaar vatbare beschikking, wordt dit alsnog rechtgezet met terugwerkende kracht tot 1 januari 2016.</w:t>
      </w:r>
    </w:p>
    <w:p w:rsidR="009A4022" w:rsidRDefault="009A4022" w:rsidP="009A4022">
      <w:pPr>
        <w:ind w:left="180"/>
        <w:jc w:val="both"/>
        <w:rPr>
          <w:rFonts w:ascii="Garamond" w:hAnsi="Garamond"/>
          <w:sz w:val="22"/>
          <w:szCs w:val="22"/>
        </w:rPr>
      </w:pPr>
    </w:p>
    <w:p w:rsidR="009A4022" w:rsidRDefault="009A4022" w:rsidP="009A4022">
      <w:pPr>
        <w:ind w:left="180"/>
        <w:jc w:val="both"/>
        <w:rPr>
          <w:rFonts w:ascii="Syntax-Roman" w:hAnsi="Syntax-Roman"/>
          <w:b/>
          <w:sz w:val="22"/>
        </w:rPr>
      </w:pPr>
      <w:r w:rsidRPr="0053315C">
        <w:rPr>
          <w:rFonts w:ascii="Syntax-Roman" w:hAnsi="Syntax-Roman"/>
          <w:b/>
          <w:sz w:val="22"/>
        </w:rPr>
        <w:t>Fatale termijn voor herziening voorschot en vaststelling toeslag</w:t>
      </w:r>
    </w:p>
    <w:p w:rsidR="009A4022" w:rsidRDefault="009A4022" w:rsidP="009A4022">
      <w:pPr>
        <w:ind w:left="180"/>
        <w:jc w:val="both"/>
        <w:rPr>
          <w:rFonts w:ascii="Garamond" w:hAnsi="Garamond"/>
          <w:sz w:val="22"/>
          <w:szCs w:val="22"/>
        </w:rPr>
      </w:pPr>
      <w:r>
        <w:rPr>
          <w:rFonts w:ascii="Garamond" w:hAnsi="Garamond"/>
          <w:sz w:val="22"/>
          <w:szCs w:val="22"/>
        </w:rPr>
        <w:t xml:space="preserve">In juni 2016 is in rechtspraak bepaald dat de bevoegdheid van de Belastingdienst om een </w:t>
      </w:r>
      <w:r>
        <w:rPr>
          <w:rFonts w:ascii="Garamond" w:hAnsi="Garamond"/>
          <w:sz w:val="22"/>
          <w:szCs w:val="22"/>
        </w:rPr>
        <w:t>voorschot bij een herziening te verlagen, vervalt zodra vijf jaar zijn verstreken sinds het einde van het berekeningsjaar. Deze termijn geldt volgens deze uitspraak ook als de Belastingdienst een tegemoetkoming op een lager bedrag wil stellen dan het verleende voorschot. In de wet wordt deze fatale termijn ten aanzien van de herziening van een voorschot en de vaststelling van de tegemoetkoming daarom vastgelegd.</w:t>
      </w:r>
    </w:p>
    <w:p w:rsidR="009A4022" w:rsidRDefault="009A4022" w:rsidP="009A4022">
      <w:pPr>
        <w:ind w:left="180"/>
        <w:jc w:val="both"/>
        <w:rPr>
          <w:rFonts w:ascii="Garamond" w:hAnsi="Garamond"/>
          <w:sz w:val="22"/>
          <w:szCs w:val="22"/>
        </w:rPr>
      </w:pPr>
    </w:p>
    <w:p w:rsidR="009A4022" w:rsidRDefault="009A4022" w:rsidP="009A4022">
      <w:pPr>
        <w:ind w:left="180"/>
        <w:jc w:val="both"/>
        <w:rPr>
          <w:rFonts w:ascii="Syntax-Roman" w:hAnsi="Syntax-Roman"/>
          <w:b/>
          <w:sz w:val="22"/>
        </w:rPr>
      </w:pPr>
      <w:r>
        <w:rPr>
          <w:rFonts w:ascii="Syntax-Roman" w:hAnsi="Syntax-Roman"/>
          <w:b/>
          <w:sz w:val="22"/>
        </w:rPr>
        <w:t>Tip</w:t>
      </w:r>
    </w:p>
    <w:p w:rsidR="009A4022" w:rsidRDefault="009A4022" w:rsidP="009A4022">
      <w:pPr>
        <w:ind w:left="180"/>
        <w:jc w:val="both"/>
        <w:rPr>
          <w:rFonts w:ascii="Syntax-Roman" w:hAnsi="Syntax-Roman"/>
          <w:b/>
          <w:sz w:val="22"/>
        </w:rPr>
      </w:pPr>
      <w:r>
        <w:rPr>
          <w:rFonts w:ascii="Syntax-Roman" w:hAnsi="Syntax-Roman"/>
          <w:b/>
          <w:sz w:val="22"/>
        </w:rPr>
        <w:t>Vaststelling van de tegemoetkoming op een hoger bedrag dan het verleende voorschot blijft wel mogelijk. Ook bij herziening van een voorschot blijft verhoging mogelijk.</w:t>
      </w:r>
    </w:p>
    <w:p w:rsidR="009A4022" w:rsidRDefault="009A4022" w:rsidP="009A4022">
      <w:pPr>
        <w:ind w:left="180"/>
        <w:jc w:val="both"/>
        <w:rPr>
          <w:rFonts w:ascii="Garamond" w:hAnsi="Garamond"/>
          <w:sz w:val="22"/>
          <w:szCs w:val="22"/>
        </w:rPr>
      </w:pPr>
    </w:p>
    <w:p w:rsidR="009A4022" w:rsidRDefault="009A4022" w:rsidP="009A4022">
      <w:pPr>
        <w:ind w:left="180"/>
        <w:jc w:val="both"/>
        <w:rPr>
          <w:rFonts w:ascii="Syntax-Roman" w:hAnsi="Syntax-Roman"/>
          <w:b/>
          <w:sz w:val="22"/>
        </w:rPr>
      </w:pPr>
      <w:r>
        <w:rPr>
          <w:rFonts w:ascii="Syntax-Roman" w:hAnsi="Syntax-Roman"/>
          <w:b/>
          <w:sz w:val="22"/>
        </w:rPr>
        <w:t>Afzien verlenen voorschot wordt keuze</w:t>
      </w:r>
    </w:p>
    <w:p w:rsidR="009A4022" w:rsidRPr="00B15D26" w:rsidRDefault="009A4022" w:rsidP="009A4022">
      <w:pPr>
        <w:ind w:left="180"/>
        <w:jc w:val="both"/>
        <w:rPr>
          <w:rFonts w:ascii="Garamond" w:hAnsi="Garamond"/>
          <w:sz w:val="22"/>
          <w:szCs w:val="22"/>
        </w:rPr>
      </w:pPr>
      <w:r w:rsidRPr="00B15D26">
        <w:rPr>
          <w:rFonts w:ascii="Garamond" w:hAnsi="Garamond"/>
          <w:sz w:val="22"/>
          <w:szCs w:val="22"/>
        </w:rPr>
        <w:t>De wet</w:t>
      </w:r>
      <w:r>
        <w:rPr>
          <w:rFonts w:ascii="Garamond" w:hAnsi="Garamond"/>
          <w:sz w:val="22"/>
          <w:szCs w:val="22"/>
        </w:rPr>
        <w:t xml:space="preserve"> aanpak fraude toeslagen en fiscaliteit bevat verschillende maatregelen om fraude- en invorderingsrisico’s tegen te gaan in verband met de voorschotsystematiek van toeslagen die vallen onder de </w:t>
      </w:r>
      <w:r w:rsidRPr="00B15D26">
        <w:rPr>
          <w:rFonts w:ascii="Garamond" w:hAnsi="Garamond"/>
          <w:sz w:val="22"/>
          <w:szCs w:val="22"/>
        </w:rPr>
        <w:t>Algemene wet inkomensafhankelijke regelingen</w:t>
      </w:r>
      <w:r>
        <w:rPr>
          <w:rFonts w:ascii="Garamond" w:hAnsi="Garamond"/>
          <w:sz w:val="22"/>
          <w:szCs w:val="22"/>
        </w:rPr>
        <w:t xml:space="preserve">. De maatregel die betrekking heeft op het niet verlenen van een voorschot als </w:t>
      </w:r>
      <w:r w:rsidRPr="00F77F7B">
        <w:rPr>
          <w:rFonts w:ascii="Garamond" w:hAnsi="Garamond"/>
          <w:sz w:val="22"/>
          <w:szCs w:val="22"/>
        </w:rPr>
        <w:t xml:space="preserve">de aanvrager </w:t>
      </w:r>
      <w:r>
        <w:rPr>
          <w:rFonts w:ascii="Garamond" w:hAnsi="Garamond"/>
          <w:sz w:val="22"/>
          <w:szCs w:val="22"/>
        </w:rPr>
        <w:t>van de toeslag (of zijn partner of medebewoner) een vergrijp heeft begaan waarvoor een bestuurlijke boete is opgelegd of een soortgelijk misdrijf waarvoor een strafrechtelijke sanctie is opgelegd, is nog niet in werking getreden. Het kabinet kiest ervoor deze maatregel nog aan te passen en vorm te geven als een bevoegdheid, zodat de Belastingdienst niet meer verplicht is om af te zien van het verlenen van een voorschot maar de mogelijkheid heeft in bepaalde gevallen toch een voorschot te verlenen.</w:t>
      </w:r>
    </w:p>
    <w:p w:rsidR="009A4022" w:rsidRDefault="009A4022" w:rsidP="009A4022">
      <w:pPr>
        <w:ind w:left="180"/>
        <w:jc w:val="both"/>
        <w:rPr>
          <w:rFonts w:ascii="Garamond" w:hAnsi="Garamond"/>
          <w:sz w:val="22"/>
          <w:szCs w:val="22"/>
        </w:rPr>
      </w:pPr>
    </w:p>
    <w:p w:rsidR="009A4022" w:rsidRDefault="009A4022" w:rsidP="009A4022">
      <w:pPr>
        <w:ind w:left="180"/>
        <w:jc w:val="both"/>
        <w:rPr>
          <w:rFonts w:ascii="Syntax-Roman" w:hAnsi="Syntax-Roman"/>
          <w:b/>
          <w:sz w:val="22"/>
        </w:rPr>
      </w:pPr>
      <w:r>
        <w:rPr>
          <w:rFonts w:ascii="Syntax-Roman" w:hAnsi="Syntax-Roman"/>
          <w:b/>
          <w:sz w:val="22"/>
        </w:rPr>
        <w:t>Fiscus gaat toeslaginformatie delen</w:t>
      </w:r>
    </w:p>
    <w:p w:rsidR="006A52E6" w:rsidRDefault="009A4022" w:rsidP="009A4022">
      <w:pPr>
        <w:ind w:left="180"/>
        <w:jc w:val="both"/>
        <w:rPr>
          <w:rFonts w:ascii="Garamond" w:hAnsi="Garamond"/>
          <w:sz w:val="22"/>
          <w:szCs w:val="22"/>
        </w:rPr>
      </w:pPr>
      <w:r>
        <w:rPr>
          <w:rFonts w:ascii="Garamond" w:hAnsi="Garamond"/>
          <w:sz w:val="22"/>
          <w:szCs w:val="22"/>
        </w:rPr>
        <w:t xml:space="preserve">Op grond van de bestaande geheimhoudingsplicht kan de Belastingdienst gegevens die relevant kunnen zijn voor andere bestuursorganen, alleen verstrekken als een wettelijk voorschrift dat verplicht. Het kabinet voegt daarom een bepaling aan de </w:t>
      </w:r>
      <w:r w:rsidRPr="00B15D26">
        <w:rPr>
          <w:rFonts w:ascii="Garamond" w:hAnsi="Garamond"/>
          <w:sz w:val="22"/>
          <w:szCs w:val="22"/>
        </w:rPr>
        <w:t>Algemene wet inkomensafhankelijke regelingen</w:t>
      </w:r>
      <w:r>
        <w:rPr>
          <w:rFonts w:ascii="Garamond" w:hAnsi="Garamond"/>
          <w:sz w:val="22"/>
          <w:szCs w:val="22"/>
        </w:rPr>
        <w:t xml:space="preserve"> toe die een grondslag biedt voor gegevensverstrekking aan bestuursorganen waarmee op basis van een convenant wordt samengewerkt.  Een voorbeeld daarvan </w:t>
      </w:r>
      <w:r>
        <w:rPr>
          <w:rFonts w:ascii="Garamond" w:hAnsi="Garamond"/>
          <w:sz w:val="22"/>
          <w:szCs w:val="22"/>
        </w:rPr>
        <w:lastRenderedPageBreak/>
        <w:t>is het Financieel Expertise Centrum waar informatie-uitwisseling plaatsvindt ten aanzien van bestrijding van terrorismefinanciering.</w:t>
      </w:r>
    </w:p>
    <w:p w:rsidR="006A52E6" w:rsidRDefault="006A52E6" w:rsidP="009A4022">
      <w:pPr>
        <w:ind w:left="180"/>
        <w:jc w:val="both"/>
        <w:rPr>
          <w:rFonts w:ascii="Garamond" w:hAnsi="Garamond"/>
          <w:sz w:val="22"/>
          <w:szCs w:val="22"/>
        </w:rPr>
      </w:pPr>
    </w:p>
    <w:p w:rsidR="006A52E6" w:rsidRPr="006A52E6" w:rsidRDefault="006A52E6" w:rsidP="009A4022">
      <w:pPr>
        <w:ind w:left="180"/>
        <w:jc w:val="both"/>
        <w:rPr>
          <w:rFonts w:ascii="Syntax-Roman" w:hAnsi="Syntax-Roman"/>
          <w:b/>
          <w:sz w:val="22"/>
          <w:szCs w:val="22"/>
        </w:rPr>
      </w:pPr>
      <w:r w:rsidRPr="006A52E6">
        <w:rPr>
          <w:rFonts w:ascii="Syntax-Roman" w:hAnsi="Syntax-Roman"/>
          <w:b/>
          <w:sz w:val="22"/>
          <w:szCs w:val="22"/>
        </w:rPr>
        <w:t>Overzicht gewijzigde heffingskortingen</w:t>
      </w:r>
    </w:p>
    <w:p w:rsidR="006A52E6" w:rsidRDefault="006A52E6" w:rsidP="009A4022">
      <w:pPr>
        <w:ind w:left="180"/>
        <w:jc w:val="both"/>
        <w:rPr>
          <w:rFonts w:ascii="Garamond" w:hAnsi="Garamond"/>
          <w:sz w:val="22"/>
          <w:szCs w:val="22"/>
        </w:rPr>
      </w:pPr>
      <w:r>
        <w:rPr>
          <w:rFonts w:ascii="Garamond" w:hAnsi="Garamond"/>
        </w:rPr>
        <w:t>Hierin zijn alleen de wijzigingen in heffingskortingen opgenomen zoals voorgesteld in het belastingplan 2017.</w:t>
      </w:r>
    </w:p>
    <w:p w:rsidR="006A52E6" w:rsidRDefault="006A52E6" w:rsidP="009A4022">
      <w:pPr>
        <w:ind w:left="180"/>
        <w:jc w:val="both"/>
        <w:rPr>
          <w:rFonts w:ascii="Garamond" w:hAnsi="Garamond"/>
          <w:sz w:val="22"/>
          <w:szCs w:val="22"/>
        </w:rPr>
      </w:pPr>
    </w:p>
    <w:tbl>
      <w:tblPr>
        <w:tblW w:w="4605" w:type="dxa"/>
        <w:tblCellMar>
          <w:left w:w="0" w:type="dxa"/>
          <w:right w:w="0" w:type="dxa"/>
        </w:tblCellMar>
        <w:tblLook w:val="04A0" w:firstRow="1" w:lastRow="0" w:firstColumn="1" w:lastColumn="0" w:noHBand="0" w:noVBand="1"/>
      </w:tblPr>
      <w:tblGrid>
        <w:gridCol w:w="2447"/>
        <w:gridCol w:w="1079"/>
        <w:gridCol w:w="1079"/>
      </w:tblGrid>
      <w:tr w:rsidR="006A52E6" w:rsidTr="006A52E6">
        <w:trPr>
          <w:trHeight w:val="301"/>
        </w:trPr>
        <w:tc>
          <w:tcPr>
            <w:tcW w:w="244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A52E6" w:rsidRDefault="006A52E6">
            <w:pPr>
              <w:pStyle w:val="Geenafstand"/>
              <w:rPr>
                <w:color w:val="000000"/>
              </w:rPr>
            </w:pPr>
            <w:r>
              <w:rPr>
                <w:b/>
                <w:bCs/>
                <w:color w:val="000000"/>
              </w:rPr>
              <w:t>Heffingskortingen</w:t>
            </w:r>
          </w:p>
        </w:tc>
        <w:tc>
          <w:tcPr>
            <w:tcW w:w="107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A52E6" w:rsidRDefault="006A52E6">
            <w:pPr>
              <w:pStyle w:val="Geenafstand"/>
              <w:jc w:val="right"/>
              <w:rPr>
                <w:b/>
                <w:bCs/>
                <w:color w:val="000000"/>
              </w:rPr>
            </w:pPr>
            <w:r>
              <w:rPr>
                <w:b/>
                <w:bCs/>
                <w:color w:val="000000"/>
              </w:rPr>
              <w:t>2016 (€)</w:t>
            </w:r>
          </w:p>
        </w:tc>
        <w:tc>
          <w:tcPr>
            <w:tcW w:w="107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A52E6" w:rsidRDefault="006A52E6">
            <w:pPr>
              <w:pStyle w:val="Geenafstand"/>
              <w:jc w:val="right"/>
              <w:rPr>
                <w:b/>
                <w:bCs/>
                <w:color w:val="000000"/>
              </w:rPr>
            </w:pPr>
            <w:r>
              <w:rPr>
                <w:b/>
                <w:bCs/>
                <w:color w:val="000000"/>
              </w:rPr>
              <w:t>2017 (€)</w:t>
            </w:r>
          </w:p>
        </w:tc>
      </w:tr>
      <w:tr w:rsidR="006A52E6" w:rsidTr="006A52E6">
        <w:trPr>
          <w:trHeight w:val="301"/>
        </w:trPr>
        <w:tc>
          <w:tcPr>
            <w:tcW w:w="24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52E6" w:rsidRDefault="006A52E6">
            <w:pPr>
              <w:pStyle w:val="Geenafstand"/>
              <w:rPr>
                <w:color w:val="000000"/>
              </w:rPr>
            </w:pPr>
            <w:r>
              <w:rPr>
                <w:color w:val="000000"/>
              </w:rPr>
              <w:t>Algemene heffingskorting maximaal (&lt; AOW-leeftijd)</w:t>
            </w:r>
          </w:p>
        </w:tc>
        <w:tc>
          <w:tcPr>
            <w:tcW w:w="1079" w:type="dxa"/>
            <w:tcBorders>
              <w:top w:val="nil"/>
              <w:left w:val="nil"/>
              <w:bottom w:val="single" w:sz="8" w:space="0" w:color="auto"/>
              <w:right w:val="single" w:sz="8" w:space="0" w:color="auto"/>
            </w:tcBorders>
            <w:tcMar>
              <w:top w:w="0" w:type="dxa"/>
              <w:left w:w="108" w:type="dxa"/>
              <w:bottom w:w="0" w:type="dxa"/>
              <w:right w:w="108" w:type="dxa"/>
            </w:tcMar>
            <w:hideMark/>
          </w:tcPr>
          <w:p w:rsidR="006A52E6" w:rsidRDefault="006A52E6">
            <w:pPr>
              <w:pStyle w:val="Geenafstand"/>
              <w:jc w:val="right"/>
              <w:rPr>
                <w:color w:val="000000"/>
              </w:rPr>
            </w:pPr>
            <w:r>
              <w:rPr>
                <w:color w:val="000000"/>
              </w:rPr>
              <w:t>2242</w:t>
            </w:r>
          </w:p>
        </w:tc>
        <w:tc>
          <w:tcPr>
            <w:tcW w:w="1079" w:type="dxa"/>
            <w:tcBorders>
              <w:top w:val="nil"/>
              <w:left w:val="nil"/>
              <w:bottom w:val="single" w:sz="8" w:space="0" w:color="auto"/>
              <w:right w:val="single" w:sz="8" w:space="0" w:color="auto"/>
            </w:tcBorders>
            <w:tcMar>
              <w:top w:w="0" w:type="dxa"/>
              <w:left w:w="108" w:type="dxa"/>
              <w:bottom w:w="0" w:type="dxa"/>
              <w:right w:w="108" w:type="dxa"/>
            </w:tcMar>
            <w:hideMark/>
          </w:tcPr>
          <w:p w:rsidR="006A52E6" w:rsidRDefault="006A52E6">
            <w:pPr>
              <w:pStyle w:val="Geenafstand"/>
              <w:jc w:val="right"/>
              <w:rPr>
                <w:color w:val="000000"/>
              </w:rPr>
            </w:pPr>
            <w:r>
              <w:rPr>
                <w:color w:val="000000"/>
              </w:rPr>
              <w:t>2254</w:t>
            </w:r>
          </w:p>
        </w:tc>
      </w:tr>
      <w:tr w:rsidR="006A52E6" w:rsidTr="006A52E6">
        <w:trPr>
          <w:trHeight w:val="285"/>
        </w:trPr>
        <w:tc>
          <w:tcPr>
            <w:tcW w:w="24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52E6" w:rsidRDefault="006A52E6">
            <w:pPr>
              <w:pStyle w:val="Geenafstand"/>
              <w:rPr>
                <w:color w:val="000000"/>
              </w:rPr>
            </w:pPr>
            <w:r>
              <w:rPr>
                <w:color w:val="000000"/>
              </w:rPr>
              <w:t>Arbeidskorting max.</w:t>
            </w:r>
          </w:p>
        </w:tc>
        <w:tc>
          <w:tcPr>
            <w:tcW w:w="1079" w:type="dxa"/>
            <w:tcBorders>
              <w:top w:val="nil"/>
              <w:left w:val="nil"/>
              <w:bottom w:val="single" w:sz="8" w:space="0" w:color="auto"/>
              <w:right w:val="single" w:sz="8" w:space="0" w:color="auto"/>
            </w:tcBorders>
            <w:tcMar>
              <w:top w:w="0" w:type="dxa"/>
              <w:left w:w="108" w:type="dxa"/>
              <w:bottom w:w="0" w:type="dxa"/>
              <w:right w:w="108" w:type="dxa"/>
            </w:tcMar>
            <w:hideMark/>
          </w:tcPr>
          <w:p w:rsidR="006A52E6" w:rsidRDefault="006A52E6">
            <w:pPr>
              <w:pStyle w:val="Geenafstand"/>
              <w:jc w:val="right"/>
              <w:rPr>
                <w:color w:val="000000"/>
              </w:rPr>
            </w:pPr>
            <w:r>
              <w:rPr>
                <w:color w:val="000000"/>
              </w:rPr>
              <w:t>3103</w:t>
            </w:r>
          </w:p>
        </w:tc>
        <w:tc>
          <w:tcPr>
            <w:tcW w:w="1079" w:type="dxa"/>
            <w:tcBorders>
              <w:top w:val="nil"/>
              <w:left w:val="nil"/>
              <w:bottom w:val="single" w:sz="8" w:space="0" w:color="auto"/>
              <w:right w:val="single" w:sz="8" w:space="0" w:color="auto"/>
            </w:tcBorders>
            <w:tcMar>
              <w:top w:w="0" w:type="dxa"/>
              <w:left w:w="108" w:type="dxa"/>
              <w:bottom w:w="0" w:type="dxa"/>
              <w:right w:w="108" w:type="dxa"/>
            </w:tcMar>
            <w:hideMark/>
          </w:tcPr>
          <w:p w:rsidR="006A52E6" w:rsidRDefault="006A52E6">
            <w:pPr>
              <w:pStyle w:val="Geenafstand"/>
              <w:jc w:val="right"/>
              <w:rPr>
                <w:color w:val="000000"/>
              </w:rPr>
            </w:pPr>
            <w:r>
              <w:rPr>
                <w:color w:val="000000"/>
              </w:rPr>
              <w:t>3223</w:t>
            </w:r>
          </w:p>
        </w:tc>
      </w:tr>
      <w:tr w:rsidR="006A52E6" w:rsidTr="006A52E6">
        <w:trPr>
          <w:trHeight w:val="285"/>
        </w:trPr>
        <w:tc>
          <w:tcPr>
            <w:tcW w:w="24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52E6" w:rsidRDefault="006A52E6">
            <w:pPr>
              <w:pStyle w:val="Geenafstand"/>
              <w:rPr>
                <w:color w:val="000000"/>
              </w:rPr>
            </w:pPr>
            <w:r>
              <w:rPr>
                <w:color w:val="000000"/>
              </w:rPr>
              <w:t>Ouderenkorting max.</w:t>
            </w:r>
          </w:p>
        </w:tc>
        <w:tc>
          <w:tcPr>
            <w:tcW w:w="1079" w:type="dxa"/>
            <w:tcBorders>
              <w:top w:val="nil"/>
              <w:left w:val="nil"/>
              <w:bottom w:val="single" w:sz="8" w:space="0" w:color="auto"/>
              <w:right w:val="single" w:sz="8" w:space="0" w:color="auto"/>
            </w:tcBorders>
            <w:tcMar>
              <w:top w:w="0" w:type="dxa"/>
              <w:left w:w="108" w:type="dxa"/>
              <w:bottom w:w="0" w:type="dxa"/>
              <w:right w:w="108" w:type="dxa"/>
            </w:tcMar>
            <w:hideMark/>
          </w:tcPr>
          <w:p w:rsidR="006A52E6" w:rsidRDefault="006A52E6">
            <w:pPr>
              <w:pStyle w:val="Geenafstand"/>
              <w:jc w:val="right"/>
              <w:rPr>
                <w:color w:val="000000"/>
              </w:rPr>
            </w:pPr>
            <w:r>
              <w:rPr>
                <w:color w:val="000000"/>
              </w:rPr>
              <w:t>1187</w:t>
            </w:r>
          </w:p>
        </w:tc>
        <w:tc>
          <w:tcPr>
            <w:tcW w:w="1079" w:type="dxa"/>
            <w:tcBorders>
              <w:top w:val="nil"/>
              <w:left w:val="nil"/>
              <w:bottom w:val="single" w:sz="8" w:space="0" w:color="auto"/>
              <w:right w:val="single" w:sz="8" w:space="0" w:color="auto"/>
            </w:tcBorders>
            <w:tcMar>
              <w:top w:w="0" w:type="dxa"/>
              <w:left w:w="108" w:type="dxa"/>
              <w:bottom w:w="0" w:type="dxa"/>
              <w:right w:w="108" w:type="dxa"/>
            </w:tcMar>
            <w:hideMark/>
          </w:tcPr>
          <w:p w:rsidR="006A52E6" w:rsidRDefault="006A52E6">
            <w:pPr>
              <w:pStyle w:val="Geenafstand"/>
              <w:jc w:val="right"/>
              <w:rPr>
                <w:color w:val="000000"/>
              </w:rPr>
            </w:pPr>
            <w:r>
              <w:rPr>
                <w:color w:val="000000"/>
              </w:rPr>
              <w:t>1292</w:t>
            </w:r>
          </w:p>
        </w:tc>
      </w:tr>
    </w:tbl>
    <w:p w:rsidR="006A52E6" w:rsidRDefault="006A52E6" w:rsidP="006A52E6">
      <w:pPr>
        <w:ind w:left="180"/>
        <w:jc w:val="both"/>
        <w:rPr>
          <w:rFonts w:ascii="Syntax-Roman" w:hAnsi="Syntax-Roman"/>
          <w:b/>
          <w:sz w:val="22"/>
        </w:rPr>
      </w:pPr>
    </w:p>
    <w:p w:rsidR="006A52E6" w:rsidRPr="00D619B9" w:rsidRDefault="006A52E6" w:rsidP="006A52E6">
      <w:pPr>
        <w:ind w:left="180"/>
        <w:jc w:val="both"/>
        <w:rPr>
          <w:rFonts w:ascii="Syntax-Roman" w:hAnsi="Syntax-Roman"/>
          <w:b/>
          <w:sz w:val="22"/>
        </w:rPr>
      </w:pPr>
      <w:r>
        <w:rPr>
          <w:rFonts w:ascii="Syntax-Roman" w:hAnsi="Syntax-Roman"/>
          <w:b/>
          <w:sz w:val="22"/>
        </w:rPr>
        <w:t>Lager</w:t>
      </w:r>
      <w:r w:rsidRPr="00D619B9">
        <w:rPr>
          <w:rFonts w:ascii="Syntax-Roman" w:hAnsi="Syntax-Roman"/>
          <w:b/>
          <w:sz w:val="22"/>
        </w:rPr>
        <w:t xml:space="preserve"> tarief </w:t>
      </w:r>
      <w:r>
        <w:rPr>
          <w:rFonts w:ascii="Syntax-Roman" w:hAnsi="Syntax-Roman"/>
          <w:b/>
          <w:sz w:val="22"/>
        </w:rPr>
        <w:t xml:space="preserve">zelfstandige </w:t>
      </w:r>
      <w:r w:rsidRPr="00D619B9">
        <w:rPr>
          <w:rFonts w:ascii="Syntax-Roman" w:hAnsi="Syntax-Roman"/>
          <w:b/>
          <w:sz w:val="22"/>
        </w:rPr>
        <w:t>laadpalen</w:t>
      </w:r>
    </w:p>
    <w:p w:rsidR="00ED1401" w:rsidRDefault="006A52E6" w:rsidP="006A52E6">
      <w:pPr>
        <w:ind w:left="180"/>
        <w:jc w:val="both"/>
        <w:rPr>
          <w:rFonts w:ascii="Garamond" w:hAnsi="Garamond"/>
          <w:sz w:val="22"/>
        </w:rPr>
      </w:pPr>
      <w:r w:rsidRPr="00D619B9">
        <w:rPr>
          <w:rFonts w:ascii="Garamond" w:hAnsi="Garamond"/>
          <w:sz w:val="22"/>
        </w:rPr>
        <w:t xml:space="preserve">Voor elektriciteit geleverd aan laadpalen met een zelfstandige aansluiting stelt het kabinet voor om over de eerste 10.000 kWh de </w:t>
      </w:r>
      <w:r>
        <w:rPr>
          <w:rFonts w:ascii="Garamond" w:hAnsi="Garamond"/>
          <w:sz w:val="22"/>
        </w:rPr>
        <w:t>start</w:t>
      </w:r>
      <w:r w:rsidRPr="00D619B9">
        <w:rPr>
          <w:rFonts w:ascii="Garamond" w:hAnsi="Garamond"/>
          <w:sz w:val="22"/>
        </w:rPr>
        <w:t xml:space="preserve">schijf over te slaan en </w:t>
      </w:r>
      <w:r>
        <w:rPr>
          <w:rFonts w:ascii="Garamond" w:hAnsi="Garamond"/>
          <w:sz w:val="22"/>
        </w:rPr>
        <w:t xml:space="preserve">direct </w:t>
      </w:r>
      <w:r w:rsidRPr="00D619B9">
        <w:rPr>
          <w:rFonts w:ascii="Garamond" w:hAnsi="Garamond"/>
          <w:sz w:val="22"/>
        </w:rPr>
        <w:t xml:space="preserve">het lagere tarief van de tweede schijf te rekenen. Daarmee geldt over de eerste 50.000 kWh </w:t>
      </w:r>
      <w:proofErr w:type="gramStart"/>
      <w:r w:rsidRPr="00D619B9">
        <w:rPr>
          <w:rFonts w:ascii="Garamond" w:hAnsi="Garamond"/>
          <w:sz w:val="22"/>
        </w:rPr>
        <w:t>één</w:t>
      </w:r>
      <w:proofErr w:type="gramEnd"/>
      <w:r w:rsidRPr="00D619B9">
        <w:rPr>
          <w:rFonts w:ascii="Garamond" w:hAnsi="Garamond"/>
          <w:sz w:val="22"/>
        </w:rPr>
        <w:t xml:space="preserve"> en hetzelfde tarief. Het tarief in de tweede schijf bedraagt op dit moment 4,996 cent per kWh en ligt daarmee ongeveer de helft lager dan het reguliere tarief in de eerste schijf van 10,07 cent per kWh. Dit komt neer op een voordeel van 1 à 2 euro per volle accu. Het verlaagde tarief zal vier jaar van toepassing zijn, van 2017 tot en met 2020. Verder stelt het kabinet voor om het tarief voor de elektriciteit voor laadpalen met een zelfstandige aansluiting op het distributienet in de Wet opslag duurzame energie voor de periode van 2017 tot en met 2020 op nihil te stellen.</w:t>
      </w:r>
    </w:p>
    <w:p w:rsidR="00ED1401" w:rsidRDefault="00ED1401" w:rsidP="006A52E6">
      <w:pPr>
        <w:ind w:left="180"/>
        <w:jc w:val="both"/>
        <w:rPr>
          <w:rFonts w:ascii="Garamond" w:hAnsi="Garamond"/>
          <w:sz w:val="22"/>
        </w:rPr>
      </w:pPr>
    </w:p>
    <w:p w:rsidR="00ED1401" w:rsidRDefault="00ED1401" w:rsidP="006A52E6">
      <w:pPr>
        <w:ind w:left="180"/>
        <w:jc w:val="both"/>
        <w:rPr>
          <w:rFonts w:ascii="Garamond" w:hAnsi="Garamond"/>
          <w:sz w:val="22"/>
        </w:rPr>
      </w:pPr>
    </w:p>
    <w:p w:rsidR="00ED1401" w:rsidRDefault="00ED1401" w:rsidP="00ED1401">
      <w:pPr>
        <w:ind w:left="180"/>
        <w:jc w:val="both"/>
        <w:rPr>
          <w:rFonts w:ascii="Syntax-Roman" w:hAnsi="Syntax-Roman"/>
          <w:b/>
          <w:sz w:val="22"/>
          <w:szCs w:val="22"/>
        </w:rPr>
      </w:pPr>
      <w:r>
        <w:rPr>
          <w:rFonts w:ascii="Syntax-Roman" w:hAnsi="Syntax-Roman"/>
          <w:b/>
          <w:sz w:val="22"/>
          <w:szCs w:val="22"/>
        </w:rPr>
        <w:t>EERDER AANGEKONDIGDE MAATREGELEN PER 2017</w:t>
      </w:r>
    </w:p>
    <w:p w:rsidR="00ED1401" w:rsidRDefault="00ED1401" w:rsidP="00ED1401">
      <w:pPr>
        <w:ind w:left="180"/>
        <w:jc w:val="both"/>
        <w:rPr>
          <w:rFonts w:ascii="Syntax-Roman" w:hAnsi="Syntax-Roman"/>
          <w:b/>
          <w:sz w:val="22"/>
          <w:szCs w:val="22"/>
        </w:rPr>
      </w:pPr>
    </w:p>
    <w:p w:rsidR="00ED1401" w:rsidRPr="00746447" w:rsidRDefault="00ED1401" w:rsidP="00ED1401">
      <w:pPr>
        <w:ind w:left="180"/>
        <w:jc w:val="both"/>
        <w:rPr>
          <w:rFonts w:ascii="Syntax-Roman" w:hAnsi="Syntax-Roman"/>
          <w:b/>
          <w:sz w:val="22"/>
          <w:szCs w:val="22"/>
        </w:rPr>
      </w:pPr>
      <w:r>
        <w:rPr>
          <w:rFonts w:ascii="Syntax-Roman" w:hAnsi="Syntax-Roman"/>
          <w:b/>
          <w:sz w:val="22"/>
          <w:szCs w:val="22"/>
        </w:rPr>
        <w:t xml:space="preserve">Loonkostenvoordeel </w:t>
      </w:r>
      <w:proofErr w:type="spellStart"/>
      <w:r>
        <w:rPr>
          <w:rFonts w:ascii="Syntax-Roman" w:hAnsi="Syntax-Roman"/>
          <w:b/>
          <w:sz w:val="22"/>
          <w:szCs w:val="22"/>
        </w:rPr>
        <w:t>LIV’s</w:t>
      </w:r>
      <w:proofErr w:type="spellEnd"/>
    </w:p>
    <w:p w:rsidR="00ED1401" w:rsidRPr="00997594" w:rsidRDefault="00ED1401" w:rsidP="00ED1401">
      <w:pPr>
        <w:ind w:left="180"/>
        <w:jc w:val="both"/>
        <w:rPr>
          <w:rFonts w:ascii="Garamond" w:hAnsi="Garamond"/>
          <w:sz w:val="22"/>
          <w:szCs w:val="22"/>
        </w:rPr>
      </w:pPr>
      <w:r w:rsidRPr="00997594">
        <w:rPr>
          <w:rFonts w:ascii="Garamond" w:hAnsi="Garamond"/>
          <w:sz w:val="22"/>
          <w:szCs w:val="22"/>
        </w:rPr>
        <w:t xml:space="preserve">Op basis van </w:t>
      </w:r>
      <w:r>
        <w:rPr>
          <w:rFonts w:ascii="Garamond" w:hAnsi="Garamond"/>
          <w:sz w:val="22"/>
          <w:szCs w:val="22"/>
        </w:rPr>
        <w:t>de Wet</w:t>
      </w:r>
      <w:r w:rsidRPr="00997594">
        <w:rPr>
          <w:rFonts w:ascii="Garamond" w:hAnsi="Garamond"/>
          <w:sz w:val="22"/>
          <w:szCs w:val="22"/>
        </w:rPr>
        <w:t xml:space="preserve"> tegemoetkomingen loondomein </w:t>
      </w:r>
      <w:r>
        <w:rPr>
          <w:rFonts w:ascii="Garamond" w:hAnsi="Garamond"/>
          <w:sz w:val="22"/>
          <w:szCs w:val="22"/>
        </w:rPr>
        <w:t xml:space="preserve">profiteren </w:t>
      </w:r>
      <w:r w:rsidRPr="00997594">
        <w:rPr>
          <w:rFonts w:ascii="Garamond" w:hAnsi="Garamond"/>
          <w:sz w:val="22"/>
          <w:szCs w:val="22"/>
        </w:rPr>
        <w:t>werkgevers die werknemers in dienst hebben met een relatief laag loon (</w:t>
      </w:r>
      <w:proofErr w:type="spellStart"/>
      <w:r w:rsidRPr="00997594">
        <w:rPr>
          <w:rFonts w:ascii="Garamond" w:hAnsi="Garamond"/>
          <w:sz w:val="22"/>
          <w:szCs w:val="22"/>
        </w:rPr>
        <w:t>LIV’s</w:t>
      </w:r>
      <w:proofErr w:type="spellEnd"/>
      <w:r w:rsidRPr="00997594">
        <w:rPr>
          <w:rFonts w:ascii="Garamond" w:hAnsi="Garamond"/>
          <w:sz w:val="22"/>
          <w:szCs w:val="22"/>
        </w:rPr>
        <w:t>) per 1 januari 2017</w:t>
      </w:r>
      <w:r>
        <w:rPr>
          <w:rFonts w:ascii="Garamond" w:hAnsi="Garamond"/>
          <w:sz w:val="22"/>
          <w:szCs w:val="22"/>
        </w:rPr>
        <w:t xml:space="preserve"> van een loonkostenvoordeel</w:t>
      </w:r>
      <w:r w:rsidRPr="00997594">
        <w:rPr>
          <w:rFonts w:ascii="Garamond" w:hAnsi="Garamond"/>
          <w:sz w:val="22"/>
          <w:szCs w:val="22"/>
        </w:rPr>
        <w:t>.</w:t>
      </w:r>
      <w:r>
        <w:rPr>
          <w:rFonts w:ascii="Garamond" w:hAnsi="Garamond"/>
          <w:sz w:val="22"/>
          <w:szCs w:val="22"/>
        </w:rPr>
        <w:t xml:space="preserve"> </w:t>
      </w:r>
      <w:r w:rsidRPr="00997594">
        <w:rPr>
          <w:rFonts w:ascii="Garamond" w:hAnsi="Garamond"/>
          <w:sz w:val="22"/>
          <w:szCs w:val="22"/>
        </w:rPr>
        <w:t xml:space="preserve">Het </w:t>
      </w:r>
      <w:r>
        <w:rPr>
          <w:rFonts w:ascii="Garamond" w:hAnsi="Garamond"/>
          <w:sz w:val="22"/>
          <w:szCs w:val="22"/>
        </w:rPr>
        <w:t>gaat</w:t>
      </w:r>
      <w:r w:rsidRPr="00997594">
        <w:rPr>
          <w:rFonts w:ascii="Garamond" w:hAnsi="Garamond"/>
          <w:sz w:val="22"/>
          <w:szCs w:val="22"/>
        </w:rPr>
        <w:t xml:space="preserve"> o</w:t>
      </w:r>
      <w:r>
        <w:rPr>
          <w:rFonts w:ascii="Garamond" w:hAnsi="Garamond"/>
          <w:sz w:val="22"/>
          <w:szCs w:val="22"/>
        </w:rPr>
        <w:t>m</w:t>
      </w:r>
      <w:r w:rsidRPr="00997594">
        <w:rPr>
          <w:rFonts w:ascii="Garamond" w:hAnsi="Garamond"/>
          <w:sz w:val="22"/>
          <w:szCs w:val="22"/>
        </w:rPr>
        <w:t xml:space="preserve"> substantiële banen</w:t>
      </w:r>
      <w:r>
        <w:rPr>
          <w:rFonts w:ascii="Garamond" w:hAnsi="Garamond"/>
          <w:sz w:val="22"/>
          <w:szCs w:val="22"/>
        </w:rPr>
        <w:t xml:space="preserve"> van ten minste</w:t>
      </w:r>
      <w:r w:rsidRPr="00997594">
        <w:rPr>
          <w:rFonts w:ascii="Garamond" w:hAnsi="Garamond"/>
          <w:sz w:val="22"/>
          <w:szCs w:val="22"/>
        </w:rPr>
        <w:t xml:space="preserve"> 1248 u</w:t>
      </w:r>
      <w:r>
        <w:rPr>
          <w:rFonts w:ascii="Garamond" w:hAnsi="Garamond"/>
          <w:sz w:val="22"/>
          <w:szCs w:val="22"/>
        </w:rPr>
        <w:t>ur op jaarbasis.</w:t>
      </w:r>
    </w:p>
    <w:p w:rsidR="00ED1401" w:rsidRDefault="00ED1401" w:rsidP="00ED1401">
      <w:pPr>
        <w:ind w:left="180"/>
        <w:jc w:val="both"/>
        <w:rPr>
          <w:rFonts w:ascii="Syntax-Roman" w:hAnsi="Syntax-Roman"/>
          <w:sz w:val="22"/>
          <w:szCs w:val="22"/>
        </w:rPr>
      </w:pPr>
    </w:p>
    <w:tbl>
      <w:tblPr>
        <w:tblW w:w="44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134"/>
        <w:gridCol w:w="1559"/>
        <w:gridCol w:w="6"/>
      </w:tblGrid>
      <w:tr w:rsidR="00ED1401" w:rsidRPr="00997594" w:rsidTr="008E18B4">
        <w:trPr>
          <w:trHeight w:val="306"/>
        </w:trPr>
        <w:tc>
          <w:tcPr>
            <w:tcW w:w="4400" w:type="dxa"/>
            <w:gridSpan w:val="4"/>
            <w:hideMark/>
          </w:tcPr>
          <w:p w:rsidR="00ED1401" w:rsidRPr="00997594" w:rsidRDefault="00ED1401" w:rsidP="008E18B4">
            <w:pPr>
              <w:pStyle w:val="Geenafstand"/>
              <w:jc w:val="center"/>
              <w:rPr>
                <w:rFonts w:ascii="Syntax-Roman" w:hAnsi="Syntax-Roman"/>
                <w:b/>
                <w:color w:val="000000"/>
                <w:sz w:val="22"/>
              </w:rPr>
            </w:pPr>
            <w:r>
              <w:rPr>
                <w:b/>
                <w:color w:val="000000"/>
                <w:sz w:val="22"/>
              </w:rPr>
              <w:t>Huidige en nieuwe tegemoetkomingen</w:t>
            </w:r>
          </w:p>
        </w:tc>
      </w:tr>
      <w:tr w:rsidR="00ED1401" w:rsidRPr="00997594" w:rsidTr="008E18B4">
        <w:trPr>
          <w:gridAfter w:val="1"/>
          <w:wAfter w:w="6" w:type="dxa"/>
          <w:trHeight w:val="861"/>
        </w:trPr>
        <w:tc>
          <w:tcPr>
            <w:tcW w:w="1701" w:type="dxa"/>
            <w:vAlign w:val="center"/>
          </w:tcPr>
          <w:p w:rsidR="00ED1401" w:rsidRPr="00997594" w:rsidRDefault="00ED1401" w:rsidP="008E18B4">
            <w:pPr>
              <w:rPr>
                <w:rFonts w:ascii="Garamond" w:eastAsia="Calibri" w:hAnsi="Garamond"/>
                <w:b/>
                <w:sz w:val="22"/>
                <w:szCs w:val="22"/>
              </w:rPr>
            </w:pPr>
            <w:r>
              <w:rPr>
                <w:rFonts w:ascii="Garamond" w:eastAsia="Calibri" w:hAnsi="Garamond"/>
                <w:b/>
                <w:sz w:val="22"/>
                <w:szCs w:val="22"/>
              </w:rPr>
              <w:t>Doelgroep</w:t>
            </w:r>
          </w:p>
        </w:tc>
        <w:tc>
          <w:tcPr>
            <w:tcW w:w="1134" w:type="dxa"/>
            <w:vAlign w:val="center"/>
            <w:hideMark/>
          </w:tcPr>
          <w:p w:rsidR="00ED1401" w:rsidRPr="00997594" w:rsidRDefault="00ED1401" w:rsidP="008E18B4">
            <w:pPr>
              <w:jc w:val="center"/>
              <w:rPr>
                <w:rFonts w:ascii="Garamond" w:eastAsia="Calibri" w:hAnsi="Garamond"/>
                <w:b/>
                <w:sz w:val="22"/>
                <w:szCs w:val="22"/>
              </w:rPr>
            </w:pPr>
            <w:r>
              <w:rPr>
                <w:rFonts w:ascii="Garamond" w:eastAsia="Calibri" w:hAnsi="Garamond"/>
                <w:b/>
                <w:sz w:val="22"/>
                <w:szCs w:val="22"/>
              </w:rPr>
              <w:t>Huidige premiekorting</w:t>
            </w:r>
          </w:p>
        </w:tc>
        <w:tc>
          <w:tcPr>
            <w:tcW w:w="1559" w:type="dxa"/>
            <w:vAlign w:val="center"/>
            <w:hideMark/>
          </w:tcPr>
          <w:p w:rsidR="00ED1401" w:rsidRPr="00997594" w:rsidRDefault="00ED1401" w:rsidP="008E18B4">
            <w:pPr>
              <w:jc w:val="center"/>
              <w:rPr>
                <w:rFonts w:ascii="Garamond" w:eastAsia="Calibri" w:hAnsi="Garamond"/>
                <w:b/>
                <w:sz w:val="22"/>
                <w:szCs w:val="22"/>
              </w:rPr>
            </w:pPr>
            <w:r>
              <w:rPr>
                <w:rFonts w:ascii="Garamond" w:eastAsia="Calibri" w:hAnsi="Garamond"/>
                <w:b/>
                <w:sz w:val="22"/>
                <w:szCs w:val="22"/>
              </w:rPr>
              <w:t xml:space="preserve">Nieuwe </w:t>
            </w:r>
            <w:r>
              <w:rPr>
                <w:rFonts w:ascii="Garamond" w:eastAsia="Calibri" w:hAnsi="Garamond"/>
                <w:b/>
                <w:sz w:val="22"/>
                <w:szCs w:val="22"/>
              </w:rPr>
              <w:br/>
              <w:t>maximum tegemoetkoming</w:t>
            </w:r>
          </w:p>
        </w:tc>
      </w:tr>
      <w:tr w:rsidR="00ED1401" w:rsidRPr="00997594" w:rsidTr="008E18B4">
        <w:trPr>
          <w:gridAfter w:val="1"/>
          <w:wAfter w:w="6" w:type="dxa"/>
          <w:trHeight w:val="290"/>
        </w:trPr>
        <w:tc>
          <w:tcPr>
            <w:tcW w:w="1701" w:type="dxa"/>
            <w:hideMark/>
          </w:tcPr>
          <w:p w:rsidR="00ED1401" w:rsidRPr="00997594" w:rsidRDefault="00ED1401" w:rsidP="008E18B4">
            <w:pPr>
              <w:tabs>
                <w:tab w:val="left" w:pos="315"/>
              </w:tabs>
              <w:ind w:left="180"/>
              <w:jc w:val="both"/>
              <w:rPr>
                <w:rFonts w:ascii="Garamond" w:hAnsi="Garamond"/>
                <w:color w:val="000000"/>
                <w:sz w:val="22"/>
                <w:szCs w:val="22"/>
              </w:rPr>
            </w:pPr>
            <w:r>
              <w:rPr>
                <w:rFonts w:ascii="Garamond" w:hAnsi="Garamond"/>
                <w:color w:val="000000"/>
                <w:sz w:val="22"/>
                <w:szCs w:val="22"/>
              </w:rPr>
              <w:t>100 – 110% WML (LIV)</w:t>
            </w:r>
          </w:p>
        </w:tc>
        <w:tc>
          <w:tcPr>
            <w:tcW w:w="1134" w:type="dxa"/>
            <w:vAlign w:val="center"/>
            <w:hideMark/>
          </w:tcPr>
          <w:p w:rsidR="00ED1401" w:rsidRPr="00997594" w:rsidRDefault="00ED1401" w:rsidP="008E18B4">
            <w:pPr>
              <w:jc w:val="center"/>
              <w:rPr>
                <w:rFonts w:ascii="Calibri" w:eastAsia="Calibri" w:hAnsi="Calibri"/>
                <w:sz w:val="22"/>
                <w:szCs w:val="22"/>
              </w:rPr>
            </w:pPr>
            <w:r>
              <w:rPr>
                <w:rFonts w:ascii="Garamond" w:hAnsi="Garamond"/>
                <w:color w:val="000000"/>
                <w:sz w:val="22"/>
                <w:szCs w:val="22"/>
              </w:rPr>
              <w:t>-</w:t>
            </w:r>
          </w:p>
        </w:tc>
        <w:tc>
          <w:tcPr>
            <w:tcW w:w="1559" w:type="dxa"/>
            <w:vAlign w:val="center"/>
            <w:hideMark/>
          </w:tcPr>
          <w:p w:rsidR="00ED1401" w:rsidRPr="00997594" w:rsidRDefault="00ED1401" w:rsidP="008E18B4">
            <w:pPr>
              <w:jc w:val="center"/>
              <w:rPr>
                <w:rFonts w:ascii="Calibri" w:eastAsia="Calibri" w:hAnsi="Calibri"/>
                <w:sz w:val="22"/>
                <w:szCs w:val="22"/>
              </w:rPr>
            </w:pPr>
            <w:r>
              <w:rPr>
                <w:rFonts w:ascii="Garamond" w:hAnsi="Garamond"/>
                <w:color w:val="000000"/>
                <w:sz w:val="22"/>
                <w:szCs w:val="22"/>
              </w:rPr>
              <w:t>€ 2.000</w:t>
            </w:r>
          </w:p>
        </w:tc>
      </w:tr>
      <w:tr w:rsidR="00ED1401" w:rsidRPr="00997594" w:rsidTr="008E18B4">
        <w:trPr>
          <w:gridAfter w:val="1"/>
          <w:wAfter w:w="6" w:type="dxa"/>
          <w:trHeight w:val="290"/>
        </w:trPr>
        <w:tc>
          <w:tcPr>
            <w:tcW w:w="1701" w:type="dxa"/>
            <w:hideMark/>
          </w:tcPr>
          <w:p w:rsidR="00ED1401" w:rsidRPr="00997594" w:rsidRDefault="00ED1401" w:rsidP="008E18B4">
            <w:pPr>
              <w:tabs>
                <w:tab w:val="left" w:pos="315"/>
              </w:tabs>
              <w:ind w:left="180"/>
              <w:jc w:val="both"/>
              <w:rPr>
                <w:rFonts w:ascii="Garamond" w:hAnsi="Garamond"/>
                <w:color w:val="000000"/>
                <w:sz w:val="22"/>
                <w:szCs w:val="22"/>
              </w:rPr>
            </w:pPr>
            <w:r>
              <w:rPr>
                <w:rFonts w:ascii="Garamond" w:hAnsi="Garamond"/>
                <w:color w:val="000000"/>
                <w:sz w:val="22"/>
                <w:szCs w:val="22"/>
              </w:rPr>
              <w:t>110 – 120%</w:t>
            </w:r>
            <w:r>
              <w:rPr>
                <w:rFonts w:ascii="Garamond" w:hAnsi="Garamond"/>
                <w:color w:val="000000"/>
                <w:sz w:val="22"/>
                <w:szCs w:val="22"/>
              </w:rPr>
              <w:br/>
              <w:t>WML (LIV)</w:t>
            </w:r>
          </w:p>
        </w:tc>
        <w:tc>
          <w:tcPr>
            <w:tcW w:w="1134" w:type="dxa"/>
            <w:vAlign w:val="center"/>
            <w:hideMark/>
          </w:tcPr>
          <w:p w:rsidR="00ED1401" w:rsidRPr="00997594" w:rsidRDefault="00ED1401" w:rsidP="008E18B4">
            <w:pPr>
              <w:jc w:val="center"/>
              <w:rPr>
                <w:rFonts w:ascii="Calibri" w:eastAsia="Calibri" w:hAnsi="Calibri"/>
                <w:sz w:val="22"/>
                <w:szCs w:val="22"/>
              </w:rPr>
            </w:pPr>
            <w:r>
              <w:rPr>
                <w:rFonts w:ascii="Garamond" w:hAnsi="Garamond"/>
                <w:color w:val="000000"/>
                <w:sz w:val="22"/>
                <w:szCs w:val="22"/>
              </w:rPr>
              <w:t>-</w:t>
            </w:r>
          </w:p>
        </w:tc>
        <w:tc>
          <w:tcPr>
            <w:tcW w:w="1559" w:type="dxa"/>
            <w:vAlign w:val="center"/>
            <w:hideMark/>
          </w:tcPr>
          <w:p w:rsidR="00ED1401" w:rsidRPr="00997594" w:rsidRDefault="00ED1401" w:rsidP="008E18B4">
            <w:pPr>
              <w:jc w:val="center"/>
              <w:rPr>
                <w:rFonts w:ascii="Calibri" w:eastAsia="Calibri" w:hAnsi="Calibri"/>
                <w:sz w:val="22"/>
                <w:szCs w:val="22"/>
              </w:rPr>
            </w:pPr>
            <w:r>
              <w:rPr>
                <w:rFonts w:ascii="Garamond" w:hAnsi="Garamond"/>
                <w:color w:val="000000"/>
                <w:sz w:val="22"/>
                <w:szCs w:val="22"/>
              </w:rPr>
              <w:t>€ 1.000</w:t>
            </w:r>
          </w:p>
        </w:tc>
      </w:tr>
      <w:tr w:rsidR="00ED1401" w:rsidRPr="00997594" w:rsidTr="008E18B4">
        <w:trPr>
          <w:gridAfter w:val="1"/>
          <w:wAfter w:w="6" w:type="dxa"/>
          <w:trHeight w:val="290"/>
        </w:trPr>
        <w:tc>
          <w:tcPr>
            <w:tcW w:w="1701" w:type="dxa"/>
          </w:tcPr>
          <w:p w:rsidR="00ED1401" w:rsidRDefault="00ED1401" w:rsidP="008E18B4">
            <w:pPr>
              <w:tabs>
                <w:tab w:val="left" w:pos="315"/>
              </w:tabs>
              <w:ind w:left="180"/>
              <w:jc w:val="both"/>
              <w:rPr>
                <w:rFonts w:ascii="Garamond" w:hAnsi="Garamond"/>
                <w:color w:val="000000"/>
                <w:sz w:val="22"/>
                <w:szCs w:val="22"/>
              </w:rPr>
            </w:pPr>
            <w:r>
              <w:rPr>
                <w:rFonts w:ascii="Garamond" w:hAnsi="Garamond"/>
                <w:color w:val="000000"/>
                <w:sz w:val="22"/>
                <w:szCs w:val="22"/>
              </w:rPr>
              <w:t>Ouderen 56+</w:t>
            </w:r>
          </w:p>
        </w:tc>
        <w:tc>
          <w:tcPr>
            <w:tcW w:w="1134" w:type="dxa"/>
            <w:vAlign w:val="center"/>
          </w:tcPr>
          <w:p w:rsidR="00ED1401" w:rsidRDefault="00ED1401" w:rsidP="008E18B4">
            <w:pPr>
              <w:jc w:val="center"/>
              <w:rPr>
                <w:rFonts w:ascii="Garamond" w:hAnsi="Garamond"/>
                <w:color w:val="000000"/>
                <w:sz w:val="22"/>
                <w:szCs w:val="22"/>
              </w:rPr>
            </w:pPr>
            <w:r>
              <w:rPr>
                <w:rFonts w:ascii="Garamond" w:hAnsi="Garamond"/>
                <w:color w:val="000000"/>
                <w:sz w:val="22"/>
                <w:szCs w:val="22"/>
              </w:rPr>
              <w:t>€ 7.000</w:t>
            </w:r>
          </w:p>
        </w:tc>
        <w:tc>
          <w:tcPr>
            <w:tcW w:w="1559" w:type="dxa"/>
            <w:vAlign w:val="center"/>
          </w:tcPr>
          <w:p w:rsidR="00ED1401" w:rsidRDefault="00ED1401" w:rsidP="008E18B4">
            <w:pPr>
              <w:jc w:val="center"/>
              <w:rPr>
                <w:rFonts w:ascii="Garamond" w:hAnsi="Garamond"/>
                <w:color w:val="000000"/>
                <w:sz w:val="22"/>
                <w:szCs w:val="22"/>
              </w:rPr>
            </w:pPr>
            <w:r>
              <w:rPr>
                <w:rFonts w:ascii="Garamond" w:hAnsi="Garamond"/>
                <w:color w:val="000000"/>
                <w:sz w:val="22"/>
                <w:szCs w:val="22"/>
              </w:rPr>
              <w:t>€ 6.000</w:t>
            </w:r>
          </w:p>
        </w:tc>
      </w:tr>
      <w:tr w:rsidR="00ED1401" w:rsidRPr="00997594" w:rsidTr="008E18B4">
        <w:trPr>
          <w:gridAfter w:val="1"/>
          <w:wAfter w:w="6" w:type="dxa"/>
          <w:trHeight w:val="290"/>
        </w:trPr>
        <w:tc>
          <w:tcPr>
            <w:tcW w:w="1701" w:type="dxa"/>
          </w:tcPr>
          <w:p w:rsidR="00ED1401" w:rsidRDefault="00ED1401" w:rsidP="008E18B4">
            <w:pPr>
              <w:tabs>
                <w:tab w:val="left" w:pos="315"/>
              </w:tabs>
              <w:ind w:left="180"/>
              <w:jc w:val="both"/>
              <w:rPr>
                <w:rFonts w:ascii="Garamond" w:hAnsi="Garamond"/>
                <w:color w:val="000000"/>
                <w:sz w:val="22"/>
                <w:szCs w:val="22"/>
              </w:rPr>
            </w:pPr>
            <w:r>
              <w:rPr>
                <w:rFonts w:ascii="Garamond" w:hAnsi="Garamond"/>
                <w:color w:val="000000"/>
                <w:sz w:val="22"/>
                <w:szCs w:val="22"/>
              </w:rPr>
              <w:t>Arbeidsgehandicapten</w:t>
            </w:r>
          </w:p>
        </w:tc>
        <w:tc>
          <w:tcPr>
            <w:tcW w:w="1134" w:type="dxa"/>
            <w:vAlign w:val="center"/>
          </w:tcPr>
          <w:p w:rsidR="00ED1401" w:rsidRDefault="00ED1401" w:rsidP="008E18B4">
            <w:pPr>
              <w:jc w:val="center"/>
              <w:rPr>
                <w:rFonts w:ascii="Garamond" w:hAnsi="Garamond"/>
                <w:color w:val="000000"/>
                <w:sz w:val="22"/>
                <w:szCs w:val="22"/>
              </w:rPr>
            </w:pPr>
            <w:r>
              <w:rPr>
                <w:rFonts w:ascii="Garamond" w:hAnsi="Garamond"/>
                <w:color w:val="000000"/>
                <w:sz w:val="22"/>
                <w:szCs w:val="22"/>
              </w:rPr>
              <w:t>€ 7.000</w:t>
            </w:r>
          </w:p>
        </w:tc>
        <w:tc>
          <w:tcPr>
            <w:tcW w:w="1559" w:type="dxa"/>
            <w:vAlign w:val="center"/>
          </w:tcPr>
          <w:p w:rsidR="00ED1401" w:rsidRDefault="00ED1401" w:rsidP="008E18B4">
            <w:pPr>
              <w:jc w:val="center"/>
              <w:rPr>
                <w:rFonts w:ascii="Garamond" w:hAnsi="Garamond"/>
                <w:color w:val="000000"/>
                <w:sz w:val="22"/>
                <w:szCs w:val="22"/>
              </w:rPr>
            </w:pPr>
            <w:r>
              <w:rPr>
                <w:rFonts w:ascii="Garamond" w:hAnsi="Garamond"/>
                <w:color w:val="000000"/>
                <w:sz w:val="22"/>
                <w:szCs w:val="22"/>
              </w:rPr>
              <w:t>€ 6.000</w:t>
            </w:r>
          </w:p>
        </w:tc>
      </w:tr>
      <w:tr w:rsidR="00ED1401" w:rsidRPr="00997594" w:rsidTr="008E18B4">
        <w:trPr>
          <w:gridAfter w:val="1"/>
          <w:wAfter w:w="6" w:type="dxa"/>
          <w:trHeight w:val="290"/>
        </w:trPr>
        <w:tc>
          <w:tcPr>
            <w:tcW w:w="1701" w:type="dxa"/>
          </w:tcPr>
          <w:p w:rsidR="00ED1401" w:rsidRDefault="00ED1401" w:rsidP="008E18B4">
            <w:pPr>
              <w:tabs>
                <w:tab w:val="left" w:pos="315"/>
              </w:tabs>
              <w:ind w:left="180"/>
              <w:jc w:val="both"/>
              <w:rPr>
                <w:rFonts w:ascii="Garamond" w:hAnsi="Garamond"/>
                <w:color w:val="000000"/>
                <w:sz w:val="22"/>
                <w:szCs w:val="22"/>
              </w:rPr>
            </w:pPr>
            <w:r>
              <w:rPr>
                <w:rFonts w:ascii="Garamond" w:hAnsi="Garamond"/>
                <w:color w:val="000000"/>
                <w:sz w:val="22"/>
                <w:szCs w:val="22"/>
              </w:rPr>
              <w:t>Banenafspraak</w:t>
            </w:r>
          </w:p>
        </w:tc>
        <w:tc>
          <w:tcPr>
            <w:tcW w:w="1134" w:type="dxa"/>
            <w:vAlign w:val="center"/>
          </w:tcPr>
          <w:p w:rsidR="00ED1401" w:rsidRDefault="00ED1401" w:rsidP="008E18B4">
            <w:pPr>
              <w:jc w:val="center"/>
              <w:rPr>
                <w:rFonts w:ascii="Garamond" w:hAnsi="Garamond"/>
                <w:color w:val="000000"/>
                <w:sz w:val="22"/>
                <w:szCs w:val="22"/>
              </w:rPr>
            </w:pPr>
            <w:proofErr w:type="gramStart"/>
            <w:r>
              <w:rPr>
                <w:rFonts w:ascii="Garamond" w:hAnsi="Garamond"/>
                <w:color w:val="000000"/>
                <w:sz w:val="22"/>
                <w:szCs w:val="22"/>
              </w:rPr>
              <w:t>divers</w:t>
            </w:r>
            <w:proofErr w:type="gramEnd"/>
          </w:p>
        </w:tc>
        <w:tc>
          <w:tcPr>
            <w:tcW w:w="1559" w:type="dxa"/>
            <w:vAlign w:val="center"/>
          </w:tcPr>
          <w:p w:rsidR="00ED1401" w:rsidRDefault="00ED1401" w:rsidP="008E18B4">
            <w:pPr>
              <w:jc w:val="center"/>
              <w:rPr>
                <w:rFonts w:ascii="Garamond" w:hAnsi="Garamond"/>
                <w:color w:val="000000"/>
                <w:sz w:val="22"/>
                <w:szCs w:val="22"/>
              </w:rPr>
            </w:pPr>
            <w:r>
              <w:rPr>
                <w:rFonts w:ascii="Garamond" w:hAnsi="Garamond"/>
                <w:color w:val="000000"/>
                <w:sz w:val="22"/>
                <w:szCs w:val="22"/>
              </w:rPr>
              <w:t>€ 2.000</w:t>
            </w:r>
          </w:p>
        </w:tc>
      </w:tr>
    </w:tbl>
    <w:p w:rsidR="00ED1401" w:rsidRDefault="00ED1401" w:rsidP="00ED1401">
      <w:pPr>
        <w:jc w:val="both"/>
        <w:rPr>
          <w:rFonts w:ascii="Syntax-Roman" w:hAnsi="Syntax-Roman"/>
          <w:sz w:val="22"/>
          <w:szCs w:val="22"/>
        </w:rPr>
      </w:pPr>
    </w:p>
    <w:p w:rsidR="00ED1401" w:rsidRPr="00EF2BAA" w:rsidRDefault="00ED1401" w:rsidP="00ED1401">
      <w:pPr>
        <w:ind w:firstLine="180"/>
        <w:jc w:val="both"/>
        <w:rPr>
          <w:rFonts w:ascii="Syntax-Roman" w:hAnsi="Syntax-Roman"/>
          <w:b/>
          <w:sz w:val="22"/>
          <w:szCs w:val="22"/>
        </w:rPr>
      </w:pPr>
      <w:r w:rsidRPr="00EF2BAA">
        <w:rPr>
          <w:rFonts w:ascii="Syntax-Roman" w:hAnsi="Syntax-Roman"/>
          <w:b/>
          <w:sz w:val="22"/>
          <w:szCs w:val="22"/>
        </w:rPr>
        <w:t>Tip</w:t>
      </w:r>
    </w:p>
    <w:p w:rsidR="00ED1401" w:rsidRPr="00EF2BAA" w:rsidRDefault="00ED1401" w:rsidP="00ED1401">
      <w:pPr>
        <w:ind w:left="180"/>
        <w:jc w:val="both"/>
        <w:rPr>
          <w:rFonts w:ascii="Syntax-Roman" w:hAnsi="Syntax-Roman"/>
          <w:b/>
          <w:sz w:val="22"/>
          <w:szCs w:val="22"/>
        </w:rPr>
      </w:pPr>
      <w:r w:rsidRPr="00EF2BAA">
        <w:rPr>
          <w:rFonts w:ascii="Syntax-Roman" w:hAnsi="Syntax-Roman"/>
          <w:b/>
          <w:sz w:val="22"/>
          <w:szCs w:val="22"/>
        </w:rPr>
        <w:t>In 2017</w:t>
      </w:r>
      <w:r>
        <w:rPr>
          <w:rFonts w:ascii="Syntax-Roman" w:hAnsi="Syntax-Roman"/>
          <w:b/>
          <w:sz w:val="22"/>
          <w:szCs w:val="22"/>
        </w:rPr>
        <w:t xml:space="preserve"> is</w:t>
      </w:r>
      <w:r w:rsidRPr="00EF2BAA">
        <w:rPr>
          <w:rFonts w:ascii="Syntax-Roman" w:hAnsi="Syntax-Roman"/>
          <w:b/>
          <w:sz w:val="22"/>
          <w:szCs w:val="22"/>
        </w:rPr>
        <w:t xml:space="preserve"> samenloop tussen de huidige premiekortingen en het LIV mogelijk. </w:t>
      </w:r>
      <w:r>
        <w:rPr>
          <w:rFonts w:ascii="Syntax-Roman" w:hAnsi="Syntax-Roman"/>
          <w:b/>
          <w:sz w:val="22"/>
          <w:szCs w:val="22"/>
        </w:rPr>
        <w:t>De</w:t>
      </w:r>
      <w:r w:rsidRPr="00EF2BAA">
        <w:rPr>
          <w:rFonts w:ascii="Syntax-Roman" w:hAnsi="Syntax-Roman"/>
          <w:b/>
          <w:sz w:val="22"/>
          <w:szCs w:val="22"/>
        </w:rPr>
        <w:t xml:space="preserve"> werkgever </w:t>
      </w:r>
      <w:r>
        <w:rPr>
          <w:rFonts w:ascii="Syntax-Roman" w:hAnsi="Syntax-Roman"/>
          <w:b/>
          <w:sz w:val="22"/>
          <w:szCs w:val="22"/>
        </w:rPr>
        <w:t xml:space="preserve">kan </w:t>
      </w:r>
      <w:r w:rsidRPr="00EF2BAA">
        <w:rPr>
          <w:rFonts w:ascii="Syntax-Roman" w:hAnsi="Syntax-Roman"/>
          <w:b/>
          <w:sz w:val="22"/>
          <w:szCs w:val="22"/>
        </w:rPr>
        <w:t>voor een werknemer die kwalificeert voor een premiekorting en het LIV</w:t>
      </w:r>
      <w:r w:rsidRPr="00150F48">
        <w:rPr>
          <w:rFonts w:ascii="Syntax-Roman" w:hAnsi="Syntax-Roman"/>
          <w:b/>
          <w:sz w:val="22"/>
          <w:szCs w:val="22"/>
        </w:rPr>
        <w:t xml:space="preserve"> </w:t>
      </w:r>
      <w:r w:rsidRPr="00EF2BAA">
        <w:rPr>
          <w:rFonts w:ascii="Syntax-Roman" w:hAnsi="Syntax-Roman"/>
          <w:b/>
          <w:sz w:val="22"/>
          <w:szCs w:val="22"/>
        </w:rPr>
        <w:t xml:space="preserve">beide tegemoetkomingen ontvangen. </w:t>
      </w:r>
    </w:p>
    <w:p w:rsidR="00ED1401" w:rsidRDefault="00ED1401" w:rsidP="00ED1401">
      <w:pPr>
        <w:ind w:left="180"/>
        <w:jc w:val="both"/>
        <w:rPr>
          <w:rFonts w:ascii="Syntax-Roman" w:hAnsi="Syntax-Roman"/>
          <w:b/>
          <w:sz w:val="22"/>
        </w:rPr>
      </w:pPr>
    </w:p>
    <w:p w:rsidR="00ED1401" w:rsidRDefault="00ED1401" w:rsidP="00ED1401">
      <w:pPr>
        <w:ind w:left="180"/>
        <w:jc w:val="both"/>
        <w:rPr>
          <w:rFonts w:ascii="Garamond" w:hAnsi="Garamond"/>
          <w:sz w:val="22"/>
          <w:szCs w:val="22"/>
        </w:rPr>
      </w:pPr>
      <w:r>
        <w:rPr>
          <w:rFonts w:ascii="Syntax-Roman" w:hAnsi="Syntax-Roman"/>
          <w:b/>
          <w:sz w:val="22"/>
          <w:szCs w:val="22"/>
        </w:rPr>
        <w:t>N</w:t>
      </w:r>
      <w:r w:rsidRPr="00401FE7">
        <w:rPr>
          <w:rFonts w:ascii="Syntax-Roman" w:hAnsi="Syntax-Roman"/>
          <w:b/>
          <w:sz w:val="22"/>
          <w:szCs w:val="22"/>
        </w:rPr>
        <w:t xml:space="preserve">ieuwe heffingssystematiek </w:t>
      </w:r>
      <w:proofErr w:type="gramStart"/>
      <w:r w:rsidRPr="00401FE7">
        <w:rPr>
          <w:rFonts w:ascii="Syntax-Roman" w:hAnsi="Syntax-Roman"/>
          <w:b/>
          <w:sz w:val="22"/>
          <w:szCs w:val="22"/>
        </w:rPr>
        <w:t xml:space="preserve">in  </w:t>
      </w:r>
      <w:r>
        <w:rPr>
          <w:rFonts w:ascii="Syntax-Roman" w:hAnsi="Syntax-Roman"/>
          <w:b/>
          <w:sz w:val="22"/>
          <w:szCs w:val="22"/>
        </w:rPr>
        <w:t>b</w:t>
      </w:r>
      <w:r w:rsidRPr="00401FE7">
        <w:rPr>
          <w:rFonts w:ascii="Syntax-Roman" w:hAnsi="Syntax-Roman"/>
          <w:b/>
          <w:sz w:val="22"/>
          <w:szCs w:val="22"/>
        </w:rPr>
        <w:t>ox</w:t>
      </w:r>
      <w:proofErr w:type="gramEnd"/>
      <w:r w:rsidRPr="00401FE7">
        <w:rPr>
          <w:rFonts w:ascii="Syntax-Roman" w:hAnsi="Syntax-Roman"/>
          <w:b/>
          <w:sz w:val="22"/>
          <w:szCs w:val="22"/>
        </w:rPr>
        <w:t xml:space="preserve"> 3</w:t>
      </w:r>
    </w:p>
    <w:p w:rsidR="00ED1401" w:rsidRDefault="00ED1401" w:rsidP="00ED1401">
      <w:pPr>
        <w:ind w:left="180"/>
        <w:jc w:val="both"/>
        <w:rPr>
          <w:rFonts w:ascii="Garamond" w:hAnsi="Garamond"/>
          <w:sz w:val="22"/>
          <w:szCs w:val="22"/>
        </w:rPr>
      </w:pPr>
      <w:r>
        <w:rPr>
          <w:rFonts w:ascii="Garamond" w:hAnsi="Garamond"/>
          <w:sz w:val="22"/>
          <w:szCs w:val="22"/>
        </w:rPr>
        <w:t xml:space="preserve">Onder de huidige regeling wordt de belasting in box 3 van de inkomstenbelasting berekend aan de hand van een vast </w:t>
      </w:r>
      <w:r w:rsidRPr="004D5184">
        <w:rPr>
          <w:rFonts w:ascii="Garamond" w:hAnsi="Garamond"/>
          <w:sz w:val="22"/>
          <w:szCs w:val="22"/>
        </w:rPr>
        <w:t>forfaitair rende</w:t>
      </w:r>
      <w:r>
        <w:rPr>
          <w:rFonts w:ascii="Garamond" w:hAnsi="Garamond"/>
          <w:sz w:val="22"/>
          <w:szCs w:val="22"/>
        </w:rPr>
        <w:t xml:space="preserve">ment van 4%. Vanaf 2017 wordt het </w:t>
      </w:r>
      <w:r w:rsidRPr="00A90A20">
        <w:rPr>
          <w:rFonts w:ascii="Garamond" w:hAnsi="Garamond"/>
          <w:sz w:val="22"/>
          <w:szCs w:val="22"/>
        </w:rPr>
        <w:t>forfaitaire rende</w:t>
      </w:r>
      <w:r>
        <w:rPr>
          <w:rFonts w:ascii="Garamond" w:hAnsi="Garamond"/>
          <w:sz w:val="22"/>
          <w:szCs w:val="22"/>
        </w:rPr>
        <w:t xml:space="preserve">ment gebaseerd </w:t>
      </w:r>
      <w:r w:rsidRPr="00A90A20">
        <w:rPr>
          <w:rFonts w:ascii="Garamond" w:hAnsi="Garamond"/>
          <w:sz w:val="22"/>
          <w:szCs w:val="22"/>
        </w:rPr>
        <w:t>op de gemiddelde verdeling</w:t>
      </w:r>
      <w:r>
        <w:rPr>
          <w:rFonts w:ascii="Garamond" w:hAnsi="Garamond"/>
          <w:sz w:val="22"/>
          <w:szCs w:val="22"/>
        </w:rPr>
        <w:t xml:space="preserve"> </w:t>
      </w:r>
      <w:r w:rsidRPr="00A90A20">
        <w:rPr>
          <w:rFonts w:ascii="Garamond" w:hAnsi="Garamond"/>
          <w:sz w:val="22"/>
          <w:szCs w:val="22"/>
        </w:rPr>
        <w:t xml:space="preserve">van </w:t>
      </w:r>
      <w:proofErr w:type="gramStart"/>
      <w:r w:rsidRPr="00A90A20">
        <w:rPr>
          <w:rFonts w:ascii="Garamond" w:hAnsi="Garamond"/>
          <w:sz w:val="22"/>
          <w:szCs w:val="22"/>
        </w:rPr>
        <w:t>het</w:t>
      </w:r>
      <w:proofErr w:type="gramEnd"/>
      <w:r w:rsidRPr="00A90A20">
        <w:rPr>
          <w:rFonts w:ascii="Garamond" w:hAnsi="Garamond"/>
          <w:sz w:val="22"/>
          <w:szCs w:val="22"/>
        </w:rPr>
        <w:t xml:space="preserve"> box 3-vermogen over spaargeld en beleggingen (de vermogensmix) in combinatie met een</w:t>
      </w:r>
      <w:r>
        <w:rPr>
          <w:rFonts w:ascii="Garamond" w:hAnsi="Garamond"/>
          <w:sz w:val="22"/>
          <w:szCs w:val="22"/>
        </w:rPr>
        <w:t xml:space="preserve"> </w:t>
      </w:r>
      <w:r w:rsidRPr="00A90A20">
        <w:rPr>
          <w:rFonts w:ascii="Garamond" w:hAnsi="Garamond"/>
          <w:sz w:val="22"/>
          <w:szCs w:val="22"/>
        </w:rPr>
        <w:t xml:space="preserve">in het verleden in de markt gerealiseerd rendement op beide componenten. </w:t>
      </w:r>
      <w:r>
        <w:rPr>
          <w:rFonts w:ascii="Garamond" w:hAnsi="Garamond"/>
          <w:sz w:val="22"/>
          <w:szCs w:val="22"/>
        </w:rPr>
        <w:t xml:space="preserve">Het vermogen van </w:t>
      </w:r>
      <w:r w:rsidRPr="00F41637">
        <w:rPr>
          <w:rFonts w:ascii="Garamond" w:hAnsi="Garamond"/>
          <w:sz w:val="22"/>
          <w:szCs w:val="22"/>
        </w:rPr>
        <w:t>elke belastingplichtige</w:t>
      </w:r>
      <w:r>
        <w:rPr>
          <w:rFonts w:ascii="Garamond" w:hAnsi="Garamond"/>
          <w:sz w:val="22"/>
          <w:szCs w:val="22"/>
        </w:rPr>
        <w:t xml:space="preserve"> wordt </w:t>
      </w:r>
      <w:r w:rsidRPr="00F41637">
        <w:rPr>
          <w:rFonts w:ascii="Garamond" w:hAnsi="Garamond"/>
          <w:sz w:val="22"/>
          <w:szCs w:val="22"/>
        </w:rPr>
        <w:t>verdeeld</w:t>
      </w:r>
      <w:r>
        <w:rPr>
          <w:rFonts w:ascii="Garamond" w:hAnsi="Garamond"/>
          <w:sz w:val="22"/>
          <w:szCs w:val="22"/>
        </w:rPr>
        <w:t xml:space="preserve"> </w:t>
      </w:r>
      <w:r w:rsidRPr="00F41637">
        <w:rPr>
          <w:rFonts w:ascii="Garamond" w:hAnsi="Garamond"/>
          <w:sz w:val="22"/>
          <w:szCs w:val="22"/>
        </w:rPr>
        <w:t xml:space="preserve">over </w:t>
      </w:r>
      <w:r>
        <w:rPr>
          <w:rFonts w:ascii="Garamond" w:hAnsi="Garamond"/>
          <w:sz w:val="22"/>
          <w:szCs w:val="22"/>
        </w:rPr>
        <w:t xml:space="preserve">drie </w:t>
      </w:r>
      <w:r w:rsidRPr="00F41637">
        <w:rPr>
          <w:rFonts w:ascii="Garamond" w:hAnsi="Garamond"/>
          <w:sz w:val="22"/>
          <w:szCs w:val="22"/>
        </w:rPr>
        <w:t>schijven</w:t>
      </w:r>
      <w:r>
        <w:rPr>
          <w:rFonts w:ascii="Garamond" w:hAnsi="Garamond"/>
          <w:sz w:val="22"/>
          <w:szCs w:val="22"/>
        </w:rPr>
        <w:t xml:space="preserve">. Per schijf </w:t>
      </w:r>
      <w:r w:rsidRPr="00F41637">
        <w:rPr>
          <w:rFonts w:ascii="Garamond" w:hAnsi="Garamond"/>
          <w:sz w:val="22"/>
          <w:szCs w:val="22"/>
        </w:rPr>
        <w:t>geldt een gemiddelde vermogensmix</w:t>
      </w:r>
      <w:r>
        <w:rPr>
          <w:rFonts w:ascii="Garamond" w:hAnsi="Garamond"/>
          <w:sz w:val="22"/>
          <w:szCs w:val="22"/>
        </w:rPr>
        <w:t xml:space="preserve"> die </w:t>
      </w:r>
      <w:r w:rsidRPr="00F41637">
        <w:rPr>
          <w:rFonts w:ascii="Garamond" w:hAnsi="Garamond"/>
          <w:sz w:val="22"/>
          <w:szCs w:val="22"/>
        </w:rPr>
        <w:t xml:space="preserve">gebaseerd </w:t>
      </w:r>
      <w:r>
        <w:rPr>
          <w:rFonts w:ascii="Garamond" w:hAnsi="Garamond"/>
          <w:sz w:val="22"/>
          <w:szCs w:val="22"/>
        </w:rPr>
        <w:t xml:space="preserve">is </w:t>
      </w:r>
      <w:r w:rsidRPr="00F41637">
        <w:rPr>
          <w:rFonts w:ascii="Garamond" w:hAnsi="Garamond"/>
          <w:sz w:val="22"/>
          <w:szCs w:val="22"/>
        </w:rPr>
        <w:t>op</w:t>
      </w:r>
      <w:r>
        <w:rPr>
          <w:rFonts w:ascii="Garamond" w:hAnsi="Garamond"/>
          <w:sz w:val="22"/>
          <w:szCs w:val="22"/>
        </w:rPr>
        <w:t xml:space="preserve"> </w:t>
      </w:r>
      <w:r w:rsidRPr="00F41637">
        <w:rPr>
          <w:rFonts w:ascii="Garamond" w:hAnsi="Garamond"/>
          <w:sz w:val="22"/>
          <w:szCs w:val="22"/>
        </w:rPr>
        <w:t>de feitelijke gegevens uit alle belastingaangiften over het kalenderjaar 2012. De vermogensmix zal</w:t>
      </w:r>
      <w:r>
        <w:rPr>
          <w:rFonts w:ascii="Garamond" w:hAnsi="Garamond"/>
          <w:sz w:val="22"/>
          <w:szCs w:val="22"/>
        </w:rPr>
        <w:t xml:space="preserve"> achteraf </w:t>
      </w:r>
      <w:r w:rsidRPr="00F41637">
        <w:rPr>
          <w:rFonts w:ascii="Garamond" w:hAnsi="Garamond"/>
          <w:sz w:val="22"/>
          <w:szCs w:val="22"/>
        </w:rPr>
        <w:t>worden</w:t>
      </w:r>
      <w:r>
        <w:rPr>
          <w:rFonts w:ascii="Garamond" w:hAnsi="Garamond"/>
          <w:sz w:val="22"/>
          <w:szCs w:val="22"/>
        </w:rPr>
        <w:t xml:space="preserve"> </w:t>
      </w:r>
      <w:r w:rsidRPr="00F41637">
        <w:rPr>
          <w:rFonts w:ascii="Garamond" w:hAnsi="Garamond"/>
          <w:sz w:val="22"/>
          <w:szCs w:val="22"/>
        </w:rPr>
        <w:t>geëvalueerd om te beoorde</w:t>
      </w:r>
      <w:r>
        <w:rPr>
          <w:rFonts w:ascii="Garamond" w:hAnsi="Garamond"/>
          <w:sz w:val="22"/>
          <w:szCs w:val="22"/>
        </w:rPr>
        <w:t xml:space="preserve">len of deze nog </w:t>
      </w:r>
      <w:r w:rsidRPr="00F41637">
        <w:rPr>
          <w:rFonts w:ascii="Garamond" w:hAnsi="Garamond"/>
          <w:sz w:val="22"/>
          <w:szCs w:val="22"/>
        </w:rPr>
        <w:t>aansluit bij de realiteit of aanpassing</w:t>
      </w:r>
      <w:r>
        <w:rPr>
          <w:rFonts w:ascii="Garamond" w:hAnsi="Garamond"/>
          <w:sz w:val="22"/>
          <w:szCs w:val="22"/>
        </w:rPr>
        <w:t xml:space="preserve"> </w:t>
      </w:r>
      <w:r w:rsidRPr="00F41637">
        <w:rPr>
          <w:rFonts w:ascii="Garamond" w:hAnsi="Garamond"/>
          <w:sz w:val="22"/>
          <w:szCs w:val="22"/>
        </w:rPr>
        <w:t>behoeft. Vervolgens wordt op basis van werkelijk gerealiseerde marktrendementen in het verleden een</w:t>
      </w:r>
      <w:r>
        <w:rPr>
          <w:rFonts w:ascii="Garamond" w:hAnsi="Garamond"/>
          <w:sz w:val="22"/>
          <w:szCs w:val="22"/>
        </w:rPr>
        <w:t xml:space="preserve"> </w:t>
      </w:r>
      <w:r w:rsidRPr="00F41637">
        <w:rPr>
          <w:rFonts w:ascii="Garamond" w:hAnsi="Garamond"/>
          <w:sz w:val="22"/>
          <w:szCs w:val="22"/>
        </w:rPr>
        <w:t xml:space="preserve">gemiddeld rendement toegerekend aan het spaardeel </w:t>
      </w:r>
      <w:r>
        <w:rPr>
          <w:rFonts w:ascii="Garamond" w:hAnsi="Garamond"/>
          <w:sz w:val="22"/>
          <w:szCs w:val="22"/>
        </w:rPr>
        <w:t xml:space="preserve">(1,63%) </w:t>
      </w:r>
      <w:r w:rsidRPr="00F41637">
        <w:rPr>
          <w:rFonts w:ascii="Garamond" w:hAnsi="Garamond"/>
          <w:sz w:val="22"/>
          <w:szCs w:val="22"/>
        </w:rPr>
        <w:t>en het beleggingsdeel</w:t>
      </w:r>
      <w:r>
        <w:rPr>
          <w:rFonts w:ascii="Garamond" w:hAnsi="Garamond"/>
          <w:sz w:val="22"/>
          <w:szCs w:val="22"/>
        </w:rPr>
        <w:t xml:space="preserve"> (5,5%) </w:t>
      </w:r>
      <w:r w:rsidRPr="00F41637">
        <w:rPr>
          <w:rFonts w:ascii="Garamond" w:hAnsi="Garamond"/>
          <w:sz w:val="22"/>
          <w:szCs w:val="22"/>
        </w:rPr>
        <w:t>in de vermogensmix.</w:t>
      </w:r>
      <w:r w:rsidRPr="008742A7">
        <w:t xml:space="preserve"> </w:t>
      </w:r>
      <w:r>
        <w:rPr>
          <w:rFonts w:ascii="Garamond" w:hAnsi="Garamond"/>
          <w:sz w:val="22"/>
          <w:szCs w:val="22"/>
        </w:rPr>
        <w:t xml:space="preserve">Na vermenigvuldiging met het tarief van 30 komt men uit op het te betalen belasting in box 3. </w:t>
      </w:r>
    </w:p>
    <w:p w:rsidR="00ED1401" w:rsidRDefault="00ED1401" w:rsidP="00ED1401">
      <w:pPr>
        <w:ind w:left="180"/>
        <w:jc w:val="both"/>
        <w:rPr>
          <w:rFonts w:ascii="Syntax-Roman" w:hAnsi="Syntax-Roman"/>
          <w:b/>
          <w:sz w:val="22"/>
          <w:szCs w:val="22"/>
        </w:rPr>
      </w:pPr>
    </w:p>
    <w:p w:rsidR="00ED1401" w:rsidRDefault="00ED1401" w:rsidP="00ED1401">
      <w:pPr>
        <w:ind w:left="180"/>
        <w:jc w:val="both"/>
      </w:pPr>
      <w:r>
        <w:rPr>
          <w:rFonts w:ascii="Syntax-Roman" w:hAnsi="Syntax-Roman"/>
          <w:b/>
          <w:sz w:val="22"/>
          <w:szCs w:val="22"/>
        </w:rPr>
        <w:t>Let op!</w:t>
      </w:r>
      <w:r w:rsidRPr="003A25CD">
        <w:t xml:space="preserve"> </w:t>
      </w:r>
    </w:p>
    <w:p w:rsidR="00ED1401" w:rsidRDefault="00ED1401" w:rsidP="00ED1401">
      <w:pPr>
        <w:ind w:left="180"/>
        <w:jc w:val="both"/>
        <w:rPr>
          <w:rFonts w:ascii="Syntax-Roman" w:hAnsi="Syntax-Roman"/>
          <w:b/>
          <w:sz w:val="22"/>
          <w:szCs w:val="22"/>
        </w:rPr>
      </w:pPr>
      <w:r w:rsidRPr="00035A9A">
        <w:rPr>
          <w:rFonts w:ascii="Syntax-Roman" w:hAnsi="Syntax-Roman"/>
          <w:b/>
          <w:sz w:val="22"/>
          <w:szCs w:val="22"/>
        </w:rPr>
        <w:lastRenderedPageBreak/>
        <w:t>Voor buitenlandse belastingplichtigen met een bepaald box 3-vermogen in Nederland zal hetzelfde forfaitaire rendement worden toegepast als voor binnenlandse belastingplichtigen met een even groot box 3-vermogen.</w:t>
      </w:r>
      <w:r w:rsidRPr="003A25CD">
        <w:rPr>
          <w:rFonts w:ascii="Syntax-Roman" w:hAnsi="Syntax-Roman"/>
          <w:b/>
          <w:sz w:val="22"/>
          <w:szCs w:val="22"/>
        </w:rPr>
        <w:t xml:space="preserve"> </w:t>
      </w:r>
    </w:p>
    <w:p w:rsidR="00ED1401" w:rsidRDefault="00ED1401" w:rsidP="00ED1401">
      <w:pPr>
        <w:ind w:left="180"/>
        <w:jc w:val="both"/>
        <w:rPr>
          <w:rFonts w:ascii="Syntax-Roman" w:hAnsi="Syntax-Roman"/>
          <w:b/>
          <w:sz w:val="22"/>
        </w:rPr>
      </w:pPr>
    </w:p>
    <w:p w:rsidR="00ED1401" w:rsidRDefault="00ED1401" w:rsidP="00ED1401">
      <w:pPr>
        <w:ind w:left="180"/>
        <w:jc w:val="both"/>
        <w:rPr>
          <w:rFonts w:ascii="Syntax-Roman" w:hAnsi="Syntax-Roman"/>
          <w:b/>
          <w:sz w:val="22"/>
          <w:szCs w:val="22"/>
        </w:rPr>
      </w:pPr>
    </w:p>
    <w:p w:rsidR="00ED1401" w:rsidRDefault="00ED1401" w:rsidP="00ED1401">
      <w:pPr>
        <w:ind w:left="180"/>
        <w:jc w:val="both"/>
        <w:rPr>
          <w:rFonts w:ascii="Syntax-Roman" w:hAnsi="Syntax-Roman"/>
          <w:b/>
          <w:sz w:val="22"/>
          <w:szCs w:val="22"/>
        </w:rPr>
      </w:pPr>
      <w:r>
        <w:rPr>
          <w:rFonts w:ascii="Syntax-Roman" w:hAnsi="Syntax-Roman"/>
          <w:b/>
          <w:sz w:val="22"/>
          <w:szCs w:val="22"/>
        </w:rPr>
        <w:t xml:space="preserve">Heffingsvrij vermogen stijgt naar </w:t>
      </w:r>
      <w:r>
        <w:rPr>
          <w:rFonts w:ascii="Syntax-Roman" w:hAnsi="Syntax-Roman"/>
          <w:b/>
          <w:sz w:val="22"/>
          <w:szCs w:val="22"/>
        </w:rPr>
        <w:br/>
      </w:r>
      <w:r>
        <w:rPr>
          <w:b/>
          <w:sz w:val="22"/>
          <w:szCs w:val="22"/>
        </w:rPr>
        <w:t>€</w:t>
      </w:r>
      <w:r>
        <w:rPr>
          <w:rFonts w:ascii="Syntax-Roman" w:hAnsi="Syntax-Roman"/>
          <w:b/>
          <w:sz w:val="22"/>
          <w:szCs w:val="22"/>
        </w:rPr>
        <w:t xml:space="preserve"> 25.000 </w:t>
      </w:r>
    </w:p>
    <w:p w:rsidR="00ED1401" w:rsidRDefault="00ED1401" w:rsidP="00ED1401">
      <w:pPr>
        <w:ind w:left="180"/>
        <w:jc w:val="both"/>
        <w:rPr>
          <w:rFonts w:ascii="Garamond" w:hAnsi="Garamond"/>
          <w:sz w:val="22"/>
          <w:szCs w:val="22"/>
        </w:rPr>
      </w:pPr>
      <w:r w:rsidRPr="009E4C17">
        <w:rPr>
          <w:rFonts w:ascii="Garamond" w:hAnsi="Garamond"/>
          <w:sz w:val="22"/>
          <w:szCs w:val="22"/>
        </w:rPr>
        <w:t>Het heffing</w:t>
      </w:r>
      <w:r>
        <w:rPr>
          <w:rFonts w:ascii="Garamond" w:hAnsi="Garamond"/>
          <w:sz w:val="22"/>
          <w:szCs w:val="22"/>
        </w:rPr>
        <w:t>s</w:t>
      </w:r>
      <w:r w:rsidRPr="009E4C17">
        <w:rPr>
          <w:rFonts w:ascii="Garamond" w:hAnsi="Garamond"/>
          <w:sz w:val="22"/>
          <w:szCs w:val="22"/>
        </w:rPr>
        <w:t xml:space="preserve">vrije vermogen van </w:t>
      </w:r>
      <w:r>
        <w:rPr>
          <w:rFonts w:ascii="Garamond" w:hAnsi="Garamond"/>
          <w:sz w:val="22"/>
          <w:szCs w:val="22"/>
        </w:rPr>
        <w:br/>
      </w:r>
      <w:r w:rsidRPr="00CE725F">
        <w:rPr>
          <w:rFonts w:ascii="Garamond" w:hAnsi="Garamond"/>
          <w:sz w:val="22"/>
          <w:szCs w:val="22"/>
        </w:rPr>
        <w:t>€ 24.437</w:t>
      </w:r>
      <w:r>
        <w:rPr>
          <w:rFonts w:ascii="Garamond" w:hAnsi="Garamond"/>
          <w:sz w:val="22"/>
          <w:szCs w:val="22"/>
        </w:rPr>
        <w:t xml:space="preserve"> (bedrag 2016</w:t>
      </w:r>
      <w:r w:rsidRPr="009E4C17">
        <w:rPr>
          <w:rFonts w:ascii="Garamond" w:hAnsi="Garamond"/>
          <w:sz w:val="22"/>
          <w:szCs w:val="22"/>
        </w:rPr>
        <w:t xml:space="preserve">) gaat met ingang van 1 januari 2017 omhoog naar € 25.000 per persoon. </w:t>
      </w:r>
      <w:r w:rsidRPr="00401FE7">
        <w:rPr>
          <w:rFonts w:ascii="Garamond" w:hAnsi="Garamond"/>
          <w:sz w:val="22"/>
          <w:szCs w:val="22"/>
        </w:rPr>
        <w:t>Fiscale partners mogen net als nu kiezen hoe</w:t>
      </w:r>
      <w:r>
        <w:rPr>
          <w:rFonts w:ascii="Garamond" w:hAnsi="Garamond"/>
          <w:sz w:val="22"/>
          <w:szCs w:val="22"/>
        </w:rPr>
        <w:t xml:space="preserve"> </w:t>
      </w:r>
      <w:r w:rsidRPr="00401FE7">
        <w:rPr>
          <w:rFonts w:ascii="Garamond" w:hAnsi="Garamond"/>
          <w:sz w:val="22"/>
          <w:szCs w:val="22"/>
        </w:rPr>
        <w:t>zij het gezamenlijke box 3-vermogen na aftrek</w:t>
      </w:r>
      <w:r>
        <w:rPr>
          <w:rFonts w:ascii="Garamond" w:hAnsi="Garamond"/>
          <w:sz w:val="22"/>
          <w:szCs w:val="22"/>
        </w:rPr>
        <w:t xml:space="preserve"> </w:t>
      </w:r>
      <w:r w:rsidRPr="00401FE7">
        <w:rPr>
          <w:rFonts w:ascii="Garamond" w:hAnsi="Garamond"/>
          <w:sz w:val="22"/>
          <w:szCs w:val="22"/>
        </w:rPr>
        <w:t>van tweemaal het heffing</w:t>
      </w:r>
      <w:r>
        <w:rPr>
          <w:rFonts w:ascii="Garamond" w:hAnsi="Garamond"/>
          <w:sz w:val="22"/>
          <w:szCs w:val="22"/>
        </w:rPr>
        <w:t>s</w:t>
      </w:r>
      <w:r w:rsidRPr="00401FE7">
        <w:rPr>
          <w:rFonts w:ascii="Garamond" w:hAnsi="Garamond"/>
          <w:sz w:val="22"/>
          <w:szCs w:val="22"/>
        </w:rPr>
        <w:t>vrije vermogen</w:t>
      </w:r>
      <w:r>
        <w:rPr>
          <w:rFonts w:ascii="Garamond" w:hAnsi="Garamond"/>
          <w:sz w:val="22"/>
          <w:szCs w:val="22"/>
        </w:rPr>
        <w:t xml:space="preserve"> </w:t>
      </w:r>
      <w:r w:rsidRPr="00401FE7">
        <w:rPr>
          <w:rFonts w:ascii="Garamond" w:hAnsi="Garamond"/>
          <w:sz w:val="22"/>
          <w:szCs w:val="22"/>
        </w:rPr>
        <w:t xml:space="preserve">onderling verdelen. </w:t>
      </w:r>
      <w:r>
        <w:rPr>
          <w:rFonts w:ascii="Garamond" w:hAnsi="Garamond"/>
          <w:sz w:val="22"/>
          <w:szCs w:val="22"/>
        </w:rPr>
        <w:t>Als men geen keuze maakt</w:t>
      </w:r>
      <w:r w:rsidRPr="00401FE7">
        <w:rPr>
          <w:rFonts w:ascii="Garamond" w:hAnsi="Garamond"/>
          <w:sz w:val="22"/>
          <w:szCs w:val="22"/>
        </w:rPr>
        <w:t>, wordt</w:t>
      </w:r>
      <w:r>
        <w:rPr>
          <w:rFonts w:ascii="Garamond" w:hAnsi="Garamond"/>
          <w:sz w:val="22"/>
          <w:szCs w:val="22"/>
        </w:rPr>
        <w:t xml:space="preserve"> </w:t>
      </w:r>
      <w:r w:rsidRPr="00401FE7">
        <w:rPr>
          <w:rFonts w:ascii="Garamond" w:hAnsi="Garamond"/>
          <w:sz w:val="22"/>
          <w:szCs w:val="22"/>
        </w:rPr>
        <w:t>bij beide partners automatisch de helft van de grondslag in aanmerking ge</w:t>
      </w:r>
      <w:r>
        <w:rPr>
          <w:rFonts w:ascii="Garamond" w:hAnsi="Garamond"/>
          <w:sz w:val="22"/>
          <w:szCs w:val="22"/>
        </w:rPr>
        <w:t>nomen</w:t>
      </w:r>
      <w:r w:rsidRPr="00401FE7">
        <w:rPr>
          <w:rFonts w:ascii="Garamond" w:hAnsi="Garamond"/>
          <w:sz w:val="22"/>
          <w:szCs w:val="22"/>
        </w:rPr>
        <w:t>.</w:t>
      </w:r>
      <w:r w:rsidRPr="00DF4834">
        <w:t xml:space="preserve"> </w:t>
      </w:r>
      <w:r w:rsidRPr="00DF4834">
        <w:rPr>
          <w:rFonts w:ascii="Garamond" w:hAnsi="Garamond"/>
          <w:sz w:val="22"/>
          <w:szCs w:val="22"/>
        </w:rPr>
        <w:t xml:space="preserve">Anders dan nu, kan de verdeling van de grondslag </w:t>
      </w:r>
      <w:r>
        <w:rPr>
          <w:rFonts w:ascii="Garamond" w:hAnsi="Garamond"/>
          <w:sz w:val="22"/>
          <w:szCs w:val="22"/>
        </w:rPr>
        <w:t xml:space="preserve">vanaf 2017 wel </w:t>
      </w:r>
      <w:r w:rsidRPr="00DF4834">
        <w:rPr>
          <w:rFonts w:ascii="Garamond" w:hAnsi="Garamond"/>
          <w:sz w:val="22"/>
          <w:szCs w:val="22"/>
        </w:rPr>
        <w:t>invloed hebben op de belastingdruk in box 3, namelijk wanneer een schijfgrens wordt overschreden.</w:t>
      </w:r>
    </w:p>
    <w:p w:rsidR="00ED1401" w:rsidRDefault="00ED1401" w:rsidP="00ED1401">
      <w:pPr>
        <w:ind w:left="180"/>
        <w:jc w:val="both"/>
        <w:rPr>
          <w:rFonts w:ascii="Garamond" w:hAnsi="Garamond"/>
          <w:sz w:val="22"/>
          <w:szCs w:val="22"/>
        </w:rPr>
      </w:pPr>
    </w:p>
    <w:p w:rsidR="00ED1401" w:rsidRDefault="00ED1401" w:rsidP="00ED1401">
      <w:pPr>
        <w:ind w:left="180"/>
        <w:jc w:val="both"/>
      </w:pPr>
      <w:r>
        <w:rPr>
          <w:rFonts w:ascii="Syntax-Roman" w:hAnsi="Syntax-Roman"/>
          <w:b/>
          <w:sz w:val="22"/>
          <w:szCs w:val="22"/>
        </w:rPr>
        <w:t>Let op!</w:t>
      </w:r>
      <w:r w:rsidRPr="00DF4834">
        <w:t xml:space="preserve"> </w:t>
      </w:r>
    </w:p>
    <w:p w:rsidR="00ED1401" w:rsidRDefault="00ED1401" w:rsidP="00ED1401">
      <w:pPr>
        <w:ind w:left="180"/>
        <w:jc w:val="both"/>
        <w:rPr>
          <w:rFonts w:ascii="Syntax-Roman" w:hAnsi="Syntax-Roman"/>
          <w:b/>
          <w:sz w:val="22"/>
          <w:szCs w:val="22"/>
        </w:rPr>
      </w:pPr>
      <w:r>
        <w:rPr>
          <w:rFonts w:ascii="Syntax-Roman" w:hAnsi="Syntax-Roman"/>
          <w:b/>
          <w:sz w:val="22"/>
          <w:szCs w:val="22"/>
        </w:rPr>
        <w:t>E</w:t>
      </w:r>
      <w:r w:rsidRPr="00DF4834">
        <w:rPr>
          <w:rFonts w:ascii="Syntax-Roman" w:hAnsi="Syntax-Roman"/>
          <w:b/>
          <w:sz w:val="22"/>
          <w:szCs w:val="22"/>
        </w:rPr>
        <w:t xml:space="preserve">en 50:50-toerekening </w:t>
      </w:r>
      <w:r>
        <w:rPr>
          <w:rFonts w:ascii="Syntax-Roman" w:hAnsi="Syntax-Roman"/>
          <w:b/>
          <w:sz w:val="22"/>
          <w:szCs w:val="22"/>
        </w:rPr>
        <w:t xml:space="preserve">is </w:t>
      </w:r>
      <w:r w:rsidRPr="00DF4834">
        <w:rPr>
          <w:rFonts w:ascii="Syntax-Roman" w:hAnsi="Syntax-Roman"/>
          <w:b/>
          <w:sz w:val="22"/>
          <w:szCs w:val="22"/>
        </w:rPr>
        <w:t>altijd voordelig voor de belastingdruk in box 3</w:t>
      </w:r>
      <w:r>
        <w:rPr>
          <w:rFonts w:ascii="Syntax-Roman" w:hAnsi="Syntax-Roman"/>
          <w:b/>
          <w:sz w:val="22"/>
          <w:szCs w:val="22"/>
        </w:rPr>
        <w:t xml:space="preserve"> als </w:t>
      </w:r>
      <w:r w:rsidRPr="00DF4834">
        <w:rPr>
          <w:rFonts w:ascii="Syntax-Roman" w:hAnsi="Syntax-Roman"/>
          <w:b/>
          <w:sz w:val="22"/>
          <w:szCs w:val="22"/>
        </w:rPr>
        <w:t>partners met de gezamenlijke grondslag sparen en beleggen een schijfgrens overschrijden</w:t>
      </w:r>
      <w:r>
        <w:rPr>
          <w:rFonts w:ascii="Syntax-Roman" w:hAnsi="Syntax-Roman"/>
          <w:b/>
          <w:sz w:val="22"/>
          <w:szCs w:val="22"/>
        </w:rPr>
        <w:t>.</w:t>
      </w:r>
    </w:p>
    <w:p w:rsidR="00ED1401" w:rsidRDefault="00ED1401" w:rsidP="00ED1401">
      <w:pPr>
        <w:ind w:left="180"/>
        <w:jc w:val="both"/>
        <w:rPr>
          <w:rFonts w:ascii="Syntax-Roman" w:hAnsi="Syntax-Roman"/>
          <w:b/>
          <w:sz w:val="22"/>
          <w:szCs w:val="22"/>
        </w:rPr>
      </w:pPr>
    </w:p>
    <w:p w:rsidR="00ED1401" w:rsidRDefault="00ED1401" w:rsidP="00ED1401">
      <w:pPr>
        <w:ind w:firstLine="180"/>
        <w:jc w:val="both"/>
        <w:rPr>
          <w:rFonts w:ascii="Syntax-Roman" w:hAnsi="Syntax-Roman"/>
          <w:b/>
          <w:sz w:val="22"/>
          <w:szCs w:val="22"/>
        </w:rPr>
      </w:pPr>
      <w:r>
        <w:rPr>
          <w:rFonts w:ascii="Syntax-Roman" w:hAnsi="Syntax-Roman"/>
          <w:b/>
          <w:sz w:val="22"/>
          <w:szCs w:val="22"/>
        </w:rPr>
        <w:t>Veranderingen autobelasting</w:t>
      </w:r>
    </w:p>
    <w:p w:rsidR="00ED1401" w:rsidRPr="00295C3A" w:rsidRDefault="00ED1401" w:rsidP="00ED1401">
      <w:pPr>
        <w:ind w:left="180"/>
        <w:jc w:val="both"/>
        <w:rPr>
          <w:rFonts w:ascii="Garamond" w:hAnsi="Garamond"/>
          <w:sz w:val="22"/>
          <w:szCs w:val="22"/>
        </w:rPr>
      </w:pPr>
      <w:r w:rsidRPr="00295C3A">
        <w:rPr>
          <w:rFonts w:ascii="Garamond" w:hAnsi="Garamond"/>
          <w:sz w:val="22"/>
          <w:szCs w:val="22"/>
        </w:rPr>
        <w:t>Als gevolg van de inwerkingtreding van de Wet uitwerking Autobrief II bestaan er per 1 januari 2017 nog drie bijtellingstarieven: een 4%-tarief voor elektrische auto’s, een standaardtarief van 22% en een 35%-tarief voor auto’s van 35 jaar of ouder. De motorrijtuigenbelasting gaat met 2% omlaag. Elektrische auto</w:t>
      </w:r>
      <w:r>
        <w:rPr>
          <w:rFonts w:ascii="Garamond" w:hAnsi="Garamond"/>
          <w:sz w:val="22"/>
          <w:szCs w:val="22"/>
        </w:rPr>
        <w:t>’s</w:t>
      </w:r>
      <w:r w:rsidRPr="00295C3A">
        <w:rPr>
          <w:rFonts w:ascii="Garamond" w:hAnsi="Garamond"/>
          <w:sz w:val="22"/>
          <w:szCs w:val="22"/>
        </w:rPr>
        <w:t xml:space="preserve"> zijn nog tot en met 2020 vrijgesteld van MRB en plug-in </w:t>
      </w:r>
      <w:proofErr w:type="spellStart"/>
      <w:r w:rsidRPr="00295C3A">
        <w:rPr>
          <w:rFonts w:ascii="Garamond" w:hAnsi="Garamond"/>
          <w:sz w:val="22"/>
          <w:szCs w:val="22"/>
        </w:rPr>
        <w:t>hybrides</w:t>
      </w:r>
      <w:proofErr w:type="spellEnd"/>
      <w:r w:rsidRPr="00295C3A">
        <w:rPr>
          <w:rFonts w:ascii="Garamond" w:hAnsi="Garamond"/>
          <w:sz w:val="22"/>
          <w:szCs w:val="22"/>
        </w:rPr>
        <w:t xml:space="preserve"> blijven gedurende die periode onder het </w:t>
      </w:r>
      <w:proofErr w:type="spellStart"/>
      <w:r w:rsidRPr="00295C3A">
        <w:rPr>
          <w:rFonts w:ascii="Garamond" w:hAnsi="Garamond"/>
          <w:sz w:val="22"/>
          <w:szCs w:val="22"/>
        </w:rPr>
        <w:t>halftarief</w:t>
      </w:r>
      <w:proofErr w:type="spellEnd"/>
      <w:r w:rsidRPr="00295C3A">
        <w:rPr>
          <w:rFonts w:ascii="Garamond" w:hAnsi="Garamond"/>
          <w:sz w:val="22"/>
          <w:szCs w:val="22"/>
        </w:rPr>
        <w:t xml:space="preserve"> vallen.</w:t>
      </w:r>
      <w:r w:rsidRPr="00295C3A">
        <w:rPr>
          <w:rFonts w:ascii="Garamond" w:hAnsi="Garamond"/>
        </w:rPr>
        <w:t xml:space="preserve"> </w:t>
      </w:r>
      <w:r w:rsidRPr="00295C3A">
        <w:rPr>
          <w:rFonts w:ascii="Garamond" w:hAnsi="Garamond"/>
          <w:sz w:val="22"/>
          <w:szCs w:val="22"/>
        </w:rPr>
        <w:t>De belasting van personenauto’s en motorrijwielen (</w:t>
      </w:r>
      <w:proofErr w:type="gramStart"/>
      <w:r w:rsidRPr="00295C3A">
        <w:rPr>
          <w:rFonts w:ascii="Garamond" w:hAnsi="Garamond"/>
          <w:sz w:val="22"/>
          <w:szCs w:val="22"/>
        </w:rPr>
        <w:t>BPM</w:t>
      </w:r>
      <w:proofErr w:type="gramEnd"/>
      <w:r w:rsidRPr="00295C3A">
        <w:rPr>
          <w:rFonts w:ascii="Garamond" w:hAnsi="Garamond"/>
          <w:sz w:val="22"/>
          <w:szCs w:val="22"/>
        </w:rPr>
        <w:t>) wordt tussen 2017 en 2020 stapsgewijs afgebouwd met 14,7%.</w:t>
      </w:r>
      <w:r w:rsidRPr="00295C3A">
        <w:rPr>
          <w:rFonts w:ascii="Garamond" w:hAnsi="Garamond"/>
        </w:rPr>
        <w:t xml:space="preserve"> </w:t>
      </w:r>
      <w:r w:rsidRPr="00295C3A">
        <w:rPr>
          <w:rFonts w:ascii="Garamond" w:hAnsi="Garamond"/>
          <w:sz w:val="22"/>
          <w:szCs w:val="22"/>
        </w:rPr>
        <w:t xml:space="preserve">De elektrische auto blijft tot en met 2020 </w:t>
      </w:r>
      <w:proofErr w:type="gramStart"/>
      <w:r w:rsidRPr="00295C3A">
        <w:rPr>
          <w:rFonts w:ascii="Garamond" w:hAnsi="Garamond"/>
          <w:sz w:val="22"/>
          <w:szCs w:val="22"/>
        </w:rPr>
        <w:t>BPM-vrij</w:t>
      </w:r>
      <w:proofErr w:type="gramEnd"/>
      <w:r w:rsidRPr="00295C3A">
        <w:rPr>
          <w:rFonts w:ascii="Garamond" w:hAnsi="Garamond"/>
          <w:sz w:val="22"/>
          <w:szCs w:val="22"/>
        </w:rPr>
        <w:t xml:space="preserve">. Voor plug-in </w:t>
      </w:r>
      <w:proofErr w:type="spellStart"/>
      <w:r w:rsidRPr="00295C3A">
        <w:rPr>
          <w:rFonts w:ascii="Garamond" w:hAnsi="Garamond"/>
          <w:sz w:val="22"/>
          <w:szCs w:val="22"/>
        </w:rPr>
        <w:t>hybrides</w:t>
      </w:r>
      <w:proofErr w:type="spellEnd"/>
      <w:r w:rsidRPr="00295C3A">
        <w:rPr>
          <w:rFonts w:ascii="Garamond" w:hAnsi="Garamond"/>
          <w:sz w:val="22"/>
          <w:szCs w:val="22"/>
        </w:rPr>
        <w:t xml:space="preserve"> geldt dat een CO2-uitstoot van 30 gram/km of meer leidt tot </w:t>
      </w:r>
      <w:proofErr w:type="gramStart"/>
      <w:r w:rsidRPr="00295C3A">
        <w:rPr>
          <w:rFonts w:ascii="Garamond" w:hAnsi="Garamond"/>
          <w:sz w:val="22"/>
          <w:szCs w:val="22"/>
        </w:rPr>
        <w:t>BPM-heffing</w:t>
      </w:r>
      <w:proofErr w:type="gramEnd"/>
      <w:r w:rsidRPr="00295C3A">
        <w:rPr>
          <w:rFonts w:ascii="Garamond" w:hAnsi="Garamond"/>
          <w:sz w:val="22"/>
          <w:szCs w:val="22"/>
        </w:rPr>
        <w:t>.</w:t>
      </w:r>
    </w:p>
    <w:p w:rsidR="00ED1401" w:rsidRDefault="00ED1401" w:rsidP="00ED1401">
      <w:pPr>
        <w:ind w:left="180"/>
        <w:jc w:val="both"/>
        <w:rPr>
          <w:rFonts w:ascii="Syntax-Roman" w:hAnsi="Syntax-Roman"/>
          <w:sz w:val="22"/>
          <w:szCs w:val="22"/>
        </w:rPr>
      </w:pPr>
    </w:p>
    <w:p w:rsidR="00ED1401" w:rsidRPr="00C73E43" w:rsidRDefault="00ED1401" w:rsidP="00ED1401">
      <w:pPr>
        <w:ind w:left="180"/>
        <w:jc w:val="both"/>
        <w:rPr>
          <w:rFonts w:ascii="Syntax-Roman" w:hAnsi="Syntax-Roman"/>
          <w:b/>
          <w:sz w:val="22"/>
          <w:szCs w:val="22"/>
        </w:rPr>
      </w:pPr>
      <w:r w:rsidRPr="00C73E43">
        <w:rPr>
          <w:rFonts w:ascii="Syntax-Roman" w:hAnsi="Syntax-Roman"/>
          <w:b/>
          <w:sz w:val="22"/>
          <w:szCs w:val="22"/>
        </w:rPr>
        <w:t>Let op!</w:t>
      </w:r>
    </w:p>
    <w:p w:rsidR="0092577C" w:rsidRDefault="00ED1401" w:rsidP="00ED1401">
      <w:pPr>
        <w:ind w:left="180"/>
        <w:jc w:val="both"/>
        <w:rPr>
          <w:rFonts w:ascii="Syntax-Roman" w:hAnsi="Syntax-Roman"/>
          <w:b/>
          <w:sz w:val="22"/>
          <w:szCs w:val="22"/>
        </w:rPr>
      </w:pPr>
      <w:r w:rsidRPr="00C73E43">
        <w:rPr>
          <w:rFonts w:ascii="Syntax-Roman" w:hAnsi="Syntax-Roman"/>
          <w:b/>
          <w:sz w:val="22"/>
          <w:szCs w:val="22"/>
        </w:rPr>
        <w:t xml:space="preserve">De nieuwe bijtellingspercentages gelden alleen voor contracten vanaf 2017 </w:t>
      </w:r>
      <w:r>
        <w:rPr>
          <w:rFonts w:ascii="Syntax-Roman" w:hAnsi="Syntax-Roman"/>
          <w:b/>
          <w:sz w:val="22"/>
          <w:szCs w:val="22"/>
        </w:rPr>
        <w:t>worden gesloten</w:t>
      </w:r>
      <w:r w:rsidRPr="00C73E43">
        <w:rPr>
          <w:rFonts w:ascii="Syntax-Roman" w:hAnsi="Syntax-Roman"/>
          <w:b/>
          <w:sz w:val="22"/>
          <w:szCs w:val="22"/>
        </w:rPr>
        <w:t>. Voor auto’s van vóór 2017 blijft gedurende 60 maanden vanaf de tenaamstelling de huidige bijtellingspercentage gelden.</w:t>
      </w:r>
      <w:r w:rsidR="0092577C">
        <w:rPr>
          <w:rFonts w:ascii="Syntax-Roman" w:hAnsi="Syntax-Roman"/>
          <w:b/>
          <w:sz w:val="22"/>
          <w:szCs w:val="22"/>
        </w:rPr>
        <w:br w:type="page"/>
      </w:r>
    </w:p>
    <w:p w:rsidR="0092577C" w:rsidRDefault="0092577C" w:rsidP="0092577C">
      <w:pPr>
        <w:ind w:left="180"/>
        <w:jc w:val="both"/>
        <w:rPr>
          <w:rFonts w:ascii="Syntax-Roman" w:hAnsi="Syntax-Roman"/>
          <w:b/>
          <w:sz w:val="22"/>
          <w:szCs w:val="22"/>
        </w:rPr>
      </w:pPr>
      <w:r>
        <w:rPr>
          <w:rFonts w:ascii="Syntax-Roman" w:hAnsi="Syntax-Roman"/>
          <w:b/>
          <w:sz w:val="22"/>
          <w:szCs w:val="22"/>
        </w:rPr>
        <w:lastRenderedPageBreak/>
        <w:t>UITGELICHT</w:t>
      </w:r>
      <w:r w:rsidRPr="0092577C">
        <w:rPr>
          <w:rFonts w:ascii="Syntax-Roman" w:hAnsi="Syntax-Roman"/>
          <w:b/>
          <w:sz w:val="22"/>
          <w:szCs w:val="22"/>
        </w:rPr>
        <w:t>:</w:t>
      </w:r>
    </w:p>
    <w:p w:rsidR="0092577C" w:rsidRDefault="0092577C" w:rsidP="0092577C">
      <w:pPr>
        <w:ind w:left="180"/>
        <w:jc w:val="both"/>
        <w:rPr>
          <w:rFonts w:ascii="Syntax-Roman" w:hAnsi="Syntax-Roman"/>
          <w:b/>
          <w:sz w:val="22"/>
          <w:szCs w:val="22"/>
        </w:rPr>
      </w:pPr>
      <w:r w:rsidRPr="0092577C">
        <w:rPr>
          <w:rFonts w:ascii="Syntax-Roman" w:hAnsi="Syntax-Roman"/>
          <w:b/>
          <w:sz w:val="22"/>
          <w:szCs w:val="22"/>
        </w:rPr>
        <w:t>AFSCHAFFING PENSIOEN IN EIGEN BE</w:t>
      </w:r>
      <w:r w:rsidR="00DC7B86">
        <w:rPr>
          <w:rFonts w:ascii="Syntax-Roman" w:hAnsi="Syntax-Roman"/>
          <w:b/>
          <w:sz w:val="22"/>
          <w:szCs w:val="22"/>
        </w:rPr>
        <w:t>HEER</w:t>
      </w:r>
    </w:p>
    <w:p w:rsidR="00DC7B86" w:rsidRDefault="00DC7B86" w:rsidP="0092577C">
      <w:pPr>
        <w:ind w:left="180"/>
        <w:jc w:val="both"/>
        <w:rPr>
          <w:rFonts w:ascii="Garamond" w:hAnsi="Garamond"/>
          <w:b/>
          <w:sz w:val="22"/>
          <w:szCs w:val="22"/>
        </w:rPr>
      </w:pPr>
    </w:p>
    <w:p w:rsidR="0092577C" w:rsidRPr="009A4022" w:rsidRDefault="0092577C" w:rsidP="0092577C">
      <w:pPr>
        <w:ind w:left="180"/>
        <w:jc w:val="both"/>
        <w:rPr>
          <w:rFonts w:ascii="Syntax-Roman" w:hAnsi="Syntax-Roman"/>
          <w:b/>
          <w:sz w:val="22"/>
          <w:szCs w:val="22"/>
        </w:rPr>
      </w:pPr>
      <w:r w:rsidRPr="009A4022">
        <w:rPr>
          <w:rFonts w:ascii="Syntax-Roman" w:hAnsi="Syntax-Roman"/>
          <w:b/>
          <w:sz w:val="22"/>
          <w:szCs w:val="22"/>
        </w:rPr>
        <w:t>Naast het Belastingplan 2017 heeft de regering op Prinsjesdag een belangrijk wetsvoorstel ingediend dat een einde maakt aan het ‘pensioen in eigen beheer’. Met ingang van 2017 is het voor een directeur-grootaandeelhouder (‘DGA’) niet meer mogelijk pensioen in eigen beheer op te bouwen. Ook mag binnen een bestaande regeling geen toevoeging aan de pensioenvoorziening meer plaatsvinden, behoudens eventuele indexatie van de verplichting.</w:t>
      </w:r>
      <w:r w:rsidR="00DC7B86">
        <w:rPr>
          <w:rFonts w:ascii="Syntax-Roman" w:hAnsi="Syntax-Roman"/>
          <w:b/>
          <w:sz w:val="22"/>
          <w:szCs w:val="22"/>
        </w:rPr>
        <w:t xml:space="preserve"> </w:t>
      </w:r>
      <w:r w:rsidRPr="009A4022">
        <w:rPr>
          <w:rFonts w:ascii="Syntax-Roman" w:hAnsi="Syntax-Roman"/>
          <w:b/>
          <w:sz w:val="22"/>
          <w:szCs w:val="22"/>
        </w:rPr>
        <w:t xml:space="preserve">Naar schatting 140.000 </w:t>
      </w:r>
      <w:proofErr w:type="spellStart"/>
      <w:r w:rsidRPr="009A4022">
        <w:rPr>
          <w:rFonts w:ascii="Syntax-Roman" w:hAnsi="Syntax-Roman"/>
          <w:b/>
          <w:sz w:val="22"/>
          <w:szCs w:val="22"/>
        </w:rPr>
        <w:t>DGA’s</w:t>
      </w:r>
      <w:proofErr w:type="spellEnd"/>
      <w:r w:rsidRPr="009A4022">
        <w:rPr>
          <w:rFonts w:ascii="Syntax-Roman" w:hAnsi="Syntax-Roman"/>
          <w:b/>
          <w:sz w:val="22"/>
          <w:szCs w:val="22"/>
        </w:rPr>
        <w:t xml:space="preserve"> hebben een dergelijke regeling.</w:t>
      </w:r>
    </w:p>
    <w:p w:rsidR="0092577C" w:rsidRPr="0092577C" w:rsidRDefault="0092577C" w:rsidP="0092577C">
      <w:pPr>
        <w:ind w:left="180"/>
        <w:jc w:val="both"/>
        <w:rPr>
          <w:rFonts w:ascii="Garamond" w:hAnsi="Garamond"/>
          <w:sz w:val="22"/>
          <w:szCs w:val="22"/>
        </w:rPr>
      </w:pPr>
    </w:p>
    <w:p w:rsidR="0092577C" w:rsidRPr="0092577C" w:rsidRDefault="0092577C" w:rsidP="0092577C">
      <w:pPr>
        <w:ind w:left="180"/>
        <w:jc w:val="both"/>
        <w:rPr>
          <w:rFonts w:ascii="Garamond" w:hAnsi="Garamond"/>
          <w:sz w:val="22"/>
          <w:szCs w:val="22"/>
        </w:rPr>
      </w:pPr>
      <w:r w:rsidRPr="0092577C">
        <w:rPr>
          <w:rFonts w:ascii="Garamond" w:hAnsi="Garamond"/>
          <w:sz w:val="22"/>
          <w:szCs w:val="22"/>
        </w:rPr>
        <w:t xml:space="preserve">De directeur-grootaandeelhouder met een bestaande pensioenregeling in eigen beheer krijgt drie mogelijkheden. De bestaande regeling kan blijven bestaan, het pensioen kan worden afgekocht of de bestaande pensioenvoorziening kan worden omgezet in een zogeheten </w:t>
      </w:r>
      <w:proofErr w:type="spellStart"/>
      <w:r w:rsidRPr="0092577C">
        <w:rPr>
          <w:rFonts w:ascii="Garamond" w:hAnsi="Garamond"/>
          <w:sz w:val="22"/>
          <w:szCs w:val="22"/>
        </w:rPr>
        <w:t>Oudedagsverplichting</w:t>
      </w:r>
      <w:proofErr w:type="spellEnd"/>
      <w:r w:rsidRPr="0092577C">
        <w:rPr>
          <w:rFonts w:ascii="Garamond" w:hAnsi="Garamond"/>
          <w:sz w:val="22"/>
          <w:szCs w:val="22"/>
        </w:rPr>
        <w:t xml:space="preserve"> (ODV). Blijft de regeling in stand, dan wordt de pensioenvoorziening ‘bevroren’, en blijven de regels zoals die voorheen golden van kracht: op de overeengekomen datum gaan de uitkeringen in en daarop wordt loonheffing ingehouden.</w:t>
      </w:r>
    </w:p>
    <w:p w:rsidR="0092577C" w:rsidRDefault="0092577C" w:rsidP="0092577C">
      <w:pPr>
        <w:ind w:left="180"/>
        <w:jc w:val="both"/>
        <w:rPr>
          <w:rFonts w:ascii="Garamond" w:hAnsi="Garamond"/>
          <w:sz w:val="22"/>
          <w:szCs w:val="22"/>
        </w:rPr>
      </w:pPr>
    </w:p>
    <w:p w:rsidR="0092577C" w:rsidRPr="009A4022" w:rsidRDefault="00D03F02" w:rsidP="0092577C">
      <w:pPr>
        <w:ind w:left="180"/>
        <w:jc w:val="both"/>
        <w:rPr>
          <w:rFonts w:ascii="Syntax-Roman" w:hAnsi="Syntax-Roman"/>
          <w:b/>
          <w:sz w:val="22"/>
          <w:szCs w:val="22"/>
        </w:rPr>
      </w:pPr>
      <w:r w:rsidRPr="009A4022">
        <w:rPr>
          <w:rFonts w:ascii="Syntax-Roman" w:hAnsi="Syntax-Roman"/>
          <w:b/>
          <w:sz w:val="22"/>
          <w:szCs w:val="22"/>
        </w:rPr>
        <w:t>Let op</w:t>
      </w:r>
      <w:r w:rsidR="0092577C" w:rsidRPr="009A4022">
        <w:rPr>
          <w:rFonts w:ascii="Syntax-Roman" w:hAnsi="Syntax-Roman"/>
          <w:b/>
          <w:sz w:val="22"/>
          <w:szCs w:val="22"/>
        </w:rPr>
        <w:t>!</w:t>
      </w:r>
    </w:p>
    <w:p w:rsidR="0092577C" w:rsidRDefault="0092577C" w:rsidP="0092577C">
      <w:pPr>
        <w:ind w:left="180"/>
        <w:jc w:val="both"/>
        <w:rPr>
          <w:rFonts w:ascii="Garamond" w:hAnsi="Garamond"/>
          <w:sz w:val="22"/>
          <w:szCs w:val="22"/>
        </w:rPr>
      </w:pPr>
      <w:r w:rsidRPr="009A4022">
        <w:rPr>
          <w:rFonts w:ascii="Syntax-Roman" w:hAnsi="Syntax-Roman"/>
          <w:b/>
          <w:sz w:val="22"/>
          <w:szCs w:val="22"/>
        </w:rPr>
        <w:t>Het ongewijzigd laten van een bestaande pensioenvoorziening is meestal niet gunstig. Vaak is het verschil tussen de fiscale waarde en de ‘commerciële’ waarde zo groot, dat de mogelijkheid om dividend uit te keren beperkt is. Het wetsvoorstel biedt een gunstige regeling om van die ‘klem’ af te komen.</w:t>
      </w:r>
    </w:p>
    <w:p w:rsidR="0092577C" w:rsidRPr="0092577C" w:rsidRDefault="0092577C" w:rsidP="0092577C">
      <w:pPr>
        <w:ind w:left="180"/>
        <w:jc w:val="both"/>
        <w:rPr>
          <w:rFonts w:ascii="Garamond" w:hAnsi="Garamond"/>
          <w:sz w:val="22"/>
          <w:szCs w:val="22"/>
        </w:rPr>
      </w:pPr>
    </w:p>
    <w:p w:rsidR="0092577C" w:rsidRPr="009A4022" w:rsidRDefault="0092577C" w:rsidP="0092577C">
      <w:pPr>
        <w:ind w:left="180"/>
        <w:jc w:val="both"/>
        <w:rPr>
          <w:rFonts w:ascii="Syntax-Roman" w:hAnsi="Syntax-Roman"/>
          <w:b/>
          <w:sz w:val="22"/>
          <w:szCs w:val="22"/>
        </w:rPr>
      </w:pPr>
      <w:r w:rsidRPr="009A4022">
        <w:rPr>
          <w:rFonts w:ascii="Syntax-Roman" w:hAnsi="Syntax-Roman"/>
          <w:b/>
          <w:sz w:val="22"/>
          <w:szCs w:val="22"/>
        </w:rPr>
        <w:t>Afkopen of omzetten in ODV</w:t>
      </w:r>
    </w:p>
    <w:p w:rsidR="0092577C" w:rsidRPr="0092577C" w:rsidRDefault="0092577C" w:rsidP="0092577C">
      <w:pPr>
        <w:ind w:left="180"/>
        <w:jc w:val="both"/>
        <w:rPr>
          <w:rFonts w:ascii="Garamond" w:hAnsi="Garamond"/>
          <w:sz w:val="22"/>
          <w:szCs w:val="22"/>
        </w:rPr>
      </w:pPr>
      <w:r w:rsidRPr="0092577C">
        <w:rPr>
          <w:rFonts w:ascii="Garamond" w:hAnsi="Garamond"/>
          <w:sz w:val="22"/>
          <w:szCs w:val="22"/>
        </w:rPr>
        <w:t xml:space="preserve">Wie gebruik maakt van de regeling voor afkoop van de pensioenregeling of omzetting in een </w:t>
      </w:r>
      <w:proofErr w:type="spellStart"/>
      <w:r w:rsidRPr="0092577C">
        <w:rPr>
          <w:rFonts w:ascii="Garamond" w:hAnsi="Garamond"/>
          <w:sz w:val="22"/>
          <w:szCs w:val="22"/>
        </w:rPr>
        <w:t>Oudedagsverplichting</w:t>
      </w:r>
      <w:proofErr w:type="spellEnd"/>
      <w:r w:rsidRPr="0092577C">
        <w:rPr>
          <w:rFonts w:ascii="Garamond" w:hAnsi="Garamond"/>
          <w:sz w:val="22"/>
          <w:szCs w:val="22"/>
        </w:rPr>
        <w:t xml:space="preserve">, hoeft geen loon- en inkomstenbelasting te betalen over het verschil tussen de commerciële en de fiscale waarde. Ook betaalt hij niet de ‘revisierente’, die normaal gesproken wel verschuldigd zou zijn. De ODV is een soort spaarrekening bij de eigen </w:t>
      </w:r>
      <w:r w:rsidRPr="0092577C">
        <w:rPr>
          <w:rFonts w:ascii="Garamond" w:hAnsi="Garamond"/>
          <w:sz w:val="22"/>
          <w:szCs w:val="22"/>
        </w:rPr>
        <w:t>BV. De DGA betaalt geen belasting over het tegoed, maar wel over de uitkeringen. Bij gehele afkoop betaalt de DGA direct inkomstenbelasting over de afkoopwaarde, verminderd met een korting. In 2017 bedraagt de korting 34,5%. Belangrijk verschil is dus dat een DGA bij afkoop weliswaar eerder belasting betaalt, maar in beginsel wel over een veel lager bedrag.</w:t>
      </w:r>
    </w:p>
    <w:p w:rsidR="009A4022" w:rsidRDefault="009A4022" w:rsidP="0092577C">
      <w:pPr>
        <w:ind w:left="180"/>
        <w:jc w:val="both"/>
        <w:rPr>
          <w:rFonts w:ascii="Garamond" w:hAnsi="Garamond"/>
          <w:sz w:val="22"/>
          <w:szCs w:val="22"/>
        </w:rPr>
      </w:pPr>
    </w:p>
    <w:p w:rsidR="0092577C" w:rsidRPr="009A4022" w:rsidRDefault="009A4022" w:rsidP="0092577C">
      <w:pPr>
        <w:ind w:left="180"/>
        <w:jc w:val="both"/>
        <w:rPr>
          <w:rFonts w:ascii="Syntax-Roman" w:hAnsi="Syntax-Roman"/>
          <w:b/>
          <w:sz w:val="22"/>
          <w:szCs w:val="22"/>
        </w:rPr>
      </w:pPr>
      <w:r w:rsidRPr="009A4022">
        <w:rPr>
          <w:rFonts w:ascii="Syntax-Roman" w:hAnsi="Syntax-Roman"/>
          <w:b/>
          <w:sz w:val="22"/>
          <w:szCs w:val="22"/>
        </w:rPr>
        <w:t>Tip</w:t>
      </w:r>
    </w:p>
    <w:p w:rsidR="0092577C" w:rsidRPr="00E74721" w:rsidRDefault="0092577C" w:rsidP="0092577C">
      <w:pPr>
        <w:ind w:left="180"/>
        <w:jc w:val="both"/>
        <w:rPr>
          <w:rFonts w:ascii="Syntax-Roman" w:hAnsi="Syntax-Roman"/>
          <w:b/>
          <w:sz w:val="22"/>
          <w:szCs w:val="22"/>
        </w:rPr>
      </w:pPr>
      <w:r w:rsidRPr="00E74721">
        <w:rPr>
          <w:rFonts w:ascii="Syntax-Roman" w:hAnsi="Syntax-Roman"/>
          <w:b/>
          <w:sz w:val="22"/>
          <w:szCs w:val="22"/>
        </w:rPr>
        <w:t>Of afkoop of omzetting voordeliger is, hangt af van een aantal factoren, waaronder leeftijd en vermogen in box 3. Omzetting heeft bovendien een liquiditeitsvoordeel: er hoeft niet direct te worden afgerekend. Het lijkt erop dat in de meeste gevallen omzetting in een oudedagsvoorzie</w:t>
      </w:r>
      <w:r w:rsidR="009A4022" w:rsidRPr="00E74721">
        <w:rPr>
          <w:rFonts w:ascii="Syntax-Roman" w:hAnsi="Syntax-Roman"/>
          <w:b/>
          <w:sz w:val="22"/>
          <w:szCs w:val="22"/>
        </w:rPr>
        <w:t>ning het voordeligst is.</w:t>
      </w:r>
    </w:p>
    <w:p w:rsidR="009A4022" w:rsidRPr="0092577C" w:rsidRDefault="009A4022" w:rsidP="0092577C">
      <w:pPr>
        <w:ind w:left="180"/>
        <w:jc w:val="both"/>
        <w:rPr>
          <w:rFonts w:ascii="Garamond" w:hAnsi="Garamond"/>
          <w:sz w:val="22"/>
          <w:szCs w:val="22"/>
        </w:rPr>
      </w:pPr>
    </w:p>
    <w:p w:rsidR="0092577C" w:rsidRPr="009A4022" w:rsidRDefault="0092577C" w:rsidP="0092577C">
      <w:pPr>
        <w:ind w:left="180"/>
        <w:jc w:val="both"/>
        <w:rPr>
          <w:rFonts w:ascii="Syntax-Roman" w:hAnsi="Syntax-Roman"/>
          <w:b/>
          <w:sz w:val="22"/>
          <w:szCs w:val="22"/>
        </w:rPr>
      </w:pPr>
      <w:r w:rsidRPr="009A4022">
        <w:rPr>
          <w:rFonts w:ascii="Syntax-Roman" w:hAnsi="Syntax-Roman"/>
          <w:b/>
          <w:sz w:val="22"/>
          <w:szCs w:val="22"/>
        </w:rPr>
        <w:t>Toestemming partner</w:t>
      </w:r>
    </w:p>
    <w:p w:rsidR="00C264EE" w:rsidRPr="009A4022" w:rsidRDefault="0092577C" w:rsidP="009A4022">
      <w:pPr>
        <w:ind w:left="180"/>
        <w:jc w:val="both"/>
        <w:rPr>
          <w:rFonts w:ascii="Syntax-Roman" w:hAnsi="Syntax-Roman"/>
          <w:b/>
          <w:sz w:val="22"/>
          <w:szCs w:val="22"/>
        </w:rPr>
      </w:pPr>
      <w:r w:rsidRPr="0092577C">
        <w:rPr>
          <w:rFonts w:ascii="Garamond" w:hAnsi="Garamond"/>
          <w:sz w:val="22"/>
          <w:szCs w:val="22"/>
        </w:rPr>
        <w:t>Uiteraard gelden voorwaarden voor gebruikmaking van de afkoop- of omzettingsfaciliteit. De wetgever vindt het bijvoorbeeld belangrijk dat de belangen van de partner niet uit het oog worden verloren. De partner zou immers (indirect) aanspraken kunnen verliezen, bijvoorbeeld doordat hij of zij geen ouderdomspensioen meer ontvangt. Daarom is het verplicht dat de partner schriftelijk akkoord gaat met afkoop of omzetting en eventueel compensatie krijgt voor het verlies van aanspraken.</w:t>
      </w:r>
    </w:p>
    <w:p w:rsidR="00C264EE" w:rsidRDefault="00C264EE" w:rsidP="005A6635">
      <w:pPr>
        <w:ind w:left="180"/>
        <w:jc w:val="both"/>
        <w:rPr>
          <w:rFonts w:ascii="Syntax-Roman" w:hAnsi="Syntax-Roman"/>
          <w:b/>
          <w:sz w:val="22"/>
          <w:szCs w:val="22"/>
        </w:rPr>
      </w:pPr>
    </w:p>
    <w:sectPr w:rsidR="00C264EE" w:rsidSect="00735956">
      <w:headerReference w:type="default" r:id="rId7"/>
      <w:footerReference w:type="default" r:id="rId8"/>
      <w:type w:val="continuous"/>
      <w:pgSz w:w="11906" w:h="16838"/>
      <w:pgMar w:top="2731" w:right="1417" w:bottom="1417" w:left="1417" w:header="0" w:footer="228" w:gutter="0"/>
      <w:pgNumType w:chapStyle="1"/>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2FEB" w:rsidRDefault="00202FEB" w:rsidP="00F60C1E">
      <w:r>
        <w:separator/>
      </w:r>
    </w:p>
  </w:endnote>
  <w:endnote w:type="continuationSeparator" w:id="0">
    <w:p w:rsidR="00202FEB" w:rsidRDefault="00202FEB" w:rsidP="00F60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yntax-Roman">
    <w:altName w:val="Times New Roman"/>
    <w:charset w:val="00"/>
    <w:family w:val="auto"/>
    <w:pitch w:val="variable"/>
    <w:sig w:usb0="00000083" w:usb1="00000000" w:usb2="00000000" w:usb3="00000000" w:csb0="00000009" w:csb1="00000000"/>
  </w:font>
  <w:font w:name="Michroma">
    <w:panose1 w:val="00000000000000000000"/>
    <w:charset w:val="00"/>
    <w:family w:val="auto"/>
    <w:pitch w:val="variable"/>
    <w:sig w:usb0="A00000AF" w:usb1="7800204B" w:usb2="14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5A90" w:rsidRDefault="003B5A90" w:rsidP="000D61F5">
    <w:pPr>
      <w:pStyle w:val="Voettekst"/>
      <w:ind w:left="180"/>
      <w:jc w:val="center"/>
      <w:rPr>
        <w:rFonts w:ascii="Syntax-Roman" w:hAnsi="Syntax-Roman"/>
        <w:color w:val="17365D"/>
        <w:sz w:val="12"/>
        <w:szCs w:val="12"/>
      </w:rPr>
    </w:pPr>
  </w:p>
  <w:p w:rsidR="00735956" w:rsidRPr="002A4AAA" w:rsidRDefault="00735956" w:rsidP="00735956">
    <w:pPr>
      <w:pStyle w:val="Voettekst"/>
      <w:jc w:val="center"/>
      <w:rPr>
        <w:i/>
        <w:color w:val="7F7F7F" w:themeColor="text1" w:themeTint="80"/>
        <w:sz w:val="16"/>
      </w:rPr>
    </w:pPr>
    <w:r w:rsidRPr="00DB6E1F">
      <w:rPr>
        <w:noProof/>
        <w:color w:val="7F7F7F" w:themeColor="text1" w:themeTint="80"/>
        <w:sz w:val="16"/>
      </w:rPr>
      <w:drawing>
        <wp:anchor distT="0" distB="0" distL="114300" distR="114300" simplePos="0" relativeHeight="251660288" behindDoc="1" locked="0" layoutInCell="1" allowOverlap="1" wp14:anchorId="57239688" wp14:editId="0B52C2FD">
          <wp:simplePos x="0" y="0"/>
          <wp:positionH relativeFrom="margin">
            <wp:posOffset>5314670</wp:posOffset>
          </wp:positionH>
          <wp:positionV relativeFrom="paragraph">
            <wp:posOffset>91440</wp:posOffset>
          </wp:positionV>
          <wp:extent cx="1223759" cy="223838"/>
          <wp:effectExtent l="0" t="0" r="0" b="5080"/>
          <wp:wrapNone/>
          <wp:docPr id="43" name="Afbeelding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rward fiscalist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3759" cy="223838"/>
                  </a:xfrm>
                  <a:prstGeom prst="rect">
                    <a:avLst/>
                  </a:prstGeom>
                </pic:spPr>
              </pic:pic>
            </a:graphicData>
          </a:graphic>
          <wp14:sizeRelH relativeFrom="margin">
            <wp14:pctWidth>0</wp14:pctWidth>
          </wp14:sizeRelH>
          <wp14:sizeRelV relativeFrom="margin">
            <wp14:pctHeight>0</wp14:pctHeight>
          </wp14:sizeRelV>
        </wp:anchor>
      </w:drawing>
    </w:r>
    <w:r>
      <w:rPr>
        <w:i/>
        <w:color w:val="7F7F7F" w:themeColor="text1" w:themeTint="80"/>
        <w:sz w:val="16"/>
      </w:rPr>
      <w:t xml:space="preserve">Forward Fiscalisten </w:t>
    </w:r>
    <w:r w:rsidRPr="002A4AAA">
      <w:rPr>
        <w:i/>
        <w:color w:val="7F7F7F" w:themeColor="text1" w:themeTint="80"/>
        <w:sz w:val="16"/>
      </w:rPr>
      <w:t xml:space="preserve">is geregistreerd bij de Kamer van Koophandel onder nummer: </w:t>
    </w:r>
    <w:r w:rsidRPr="00577907">
      <w:rPr>
        <w:i/>
        <w:color w:val="7F7F7F" w:themeColor="text1" w:themeTint="80"/>
        <w:sz w:val="16"/>
      </w:rPr>
      <w:t>62749684</w:t>
    </w:r>
    <w:r>
      <w:rPr>
        <w:i/>
        <w:color w:val="7F7F7F" w:themeColor="text1" w:themeTint="80"/>
        <w:sz w:val="16"/>
      </w:rPr>
      <w:t>.</w:t>
    </w:r>
    <w:r w:rsidRPr="00735956">
      <w:rPr>
        <w:noProof/>
        <w:color w:val="7F7F7F" w:themeColor="text1" w:themeTint="80"/>
        <w:sz w:val="16"/>
      </w:rPr>
      <w:t xml:space="preserve"> </w:t>
    </w:r>
  </w:p>
  <w:p w:rsidR="00735956" w:rsidRPr="002A4AAA" w:rsidRDefault="00735956" w:rsidP="00735956">
    <w:pPr>
      <w:pStyle w:val="Voettekst"/>
      <w:jc w:val="center"/>
      <w:rPr>
        <w:i/>
        <w:color w:val="7F7F7F" w:themeColor="text1" w:themeTint="80"/>
        <w:sz w:val="16"/>
      </w:rPr>
    </w:pPr>
    <w:r w:rsidRPr="002A4AAA">
      <w:rPr>
        <w:i/>
        <w:color w:val="7F7F7F" w:themeColor="text1" w:themeTint="80"/>
        <w:sz w:val="16"/>
      </w:rPr>
      <w:t xml:space="preserve">Op al onze diensten en publicaties zijn van toepassing de Algemene Voorwaarden van </w:t>
    </w:r>
    <w:r>
      <w:rPr>
        <w:i/>
        <w:color w:val="7F7F7F" w:themeColor="text1" w:themeTint="80"/>
        <w:sz w:val="16"/>
      </w:rPr>
      <w:t>Forward Fiscalisten</w:t>
    </w:r>
    <w:r w:rsidRPr="002A4AAA">
      <w:rPr>
        <w:i/>
        <w:color w:val="7F7F7F" w:themeColor="text1" w:themeTint="80"/>
        <w:sz w:val="16"/>
      </w:rPr>
      <w:t xml:space="preserve">, </w:t>
    </w:r>
  </w:p>
  <w:p w:rsidR="00735956" w:rsidRDefault="00735956" w:rsidP="00735956">
    <w:pPr>
      <w:pStyle w:val="Voettekst"/>
      <w:jc w:val="center"/>
      <w:rPr>
        <w:rStyle w:val="Hyperlink"/>
        <w:i/>
        <w:color w:val="7F7F7F" w:themeColor="text1" w:themeTint="80"/>
        <w:sz w:val="16"/>
      </w:rPr>
    </w:pPr>
    <w:proofErr w:type="gramStart"/>
    <w:r w:rsidRPr="002A4AAA">
      <w:rPr>
        <w:i/>
        <w:color w:val="7F7F7F" w:themeColor="text1" w:themeTint="80"/>
        <w:sz w:val="16"/>
      </w:rPr>
      <w:t>zoals</w:t>
    </w:r>
    <w:proofErr w:type="gramEnd"/>
    <w:r w:rsidRPr="002A4AAA">
      <w:rPr>
        <w:i/>
        <w:color w:val="7F7F7F" w:themeColor="text1" w:themeTint="80"/>
        <w:sz w:val="16"/>
      </w:rPr>
      <w:t xml:space="preserve"> gedeponeerd bij de Kamer van Koophandel en </w:t>
    </w:r>
    <w:r>
      <w:rPr>
        <w:i/>
        <w:color w:val="7F7F7F" w:themeColor="text1" w:themeTint="80"/>
        <w:sz w:val="16"/>
      </w:rPr>
      <w:t xml:space="preserve">beschikbaar </w:t>
    </w:r>
    <w:r w:rsidRPr="002A4AAA">
      <w:rPr>
        <w:i/>
        <w:color w:val="7F7F7F" w:themeColor="text1" w:themeTint="80"/>
        <w:sz w:val="16"/>
      </w:rPr>
      <w:t xml:space="preserve">via </w:t>
    </w:r>
    <w:r>
      <w:rPr>
        <w:i/>
        <w:color w:val="7F7F7F" w:themeColor="text1" w:themeTint="80"/>
        <w:sz w:val="16"/>
      </w:rPr>
      <w:t>de</w:t>
    </w:r>
    <w:r w:rsidRPr="002A4AAA">
      <w:rPr>
        <w:i/>
        <w:color w:val="7F7F7F" w:themeColor="text1" w:themeTint="80"/>
        <w:sz w:val="16"/>
      </w:rPr>
      <w:t xml:space="preserve"> website </w:t>
    </w:r>
    <w:hyperlink r:id="rId2" w:history="1">
      <w:r w:rsidRPr="00CD2323">
        <w:rPr>
          <w:rStyle w:val="Hyperlink"/>
          <w:i/>
          <w:color w:val="7F7F7F" w:themeColor="text1" w:themeTint="80"/>
          <w:sz w:val="16"/>
        </w:rPr>
        <w:t>www.forwardfiscalisten.nl</w:t>
      </w:r>
    </w:hyperlink>
    <w:r w:rsidRPr="00CD2323">
      <w:rPr>
        <w:rStyle w:val="Hyperlink"/>
        <w:i/>
        <w:color w:val="7F7F7F" w:themeColor="text1" w:themeTint="80"/>
        <w:sz w:val="16"/>
      </w:rPr>
      <w:t>.</w:t>
    </w:r>
  </w:p>
  <w:p w:rsidR="003B5A90" w:rsidRPr="00735956" w:rsidRDefault="00735956" w:rsidP="00735956">
    <w:pPr>
      <w:pStyle w:val="Voettekst"/>
      <w:jc w:val="center"/>
      <w:rPr>
        <w:i/>
        <w:color w:val="7F7F7F" w:themeColor="text1" w:themeTint="80"/>
        <w:sz w:val="16"/>
      </w:rPr>
    </w:pPr>
    <w:r w:rsidRPr="00CD2323">
      <w:rPr>
        <w:i/>
        <w:color w:val="7F7F7F" w:themeColor="text1" w:themeTint="80"/>
        <w:sz w:val="16"/>
      </w:rPr>
      <w:t xml:space="preserve">Copyright </w:t>
    </w:r>
    <w:proofErr w:type="spellStart"/>
    <w:r w:rsidRPr="00CD2323">
      <w:rPr>
        <w:i/>
        <w:color w:val="7F7F7F" w:themeColor="text1" w:themeTint="80"/>
        <w:sz w:val="16"/>
      </w:rPr>
      <w:t>Licent</w:t>
    </w:r>
    <w:proofErr w:type="spellEnd"/>
    <w:r w:rsidRPr="00CD2323">
      <w:rPr>
        <w:i/>
        <w:color w:val="7F7F7F" w:themeColor="text1" w:themeTint="80"/>
        <w:sz w:val="16"/>
      </w:rPr>
      <w:t xml:space="preserve"> Academy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2FEB" w:rsidRDefault="00202FEB" w:rsidP="00F60C1E">
      <w:r>
        <w:separator/>
      </w:r>
    </w:p>
  </w:footnote>
  <w:footnote w:type="continuationSeparator" w:id="0">
    <w:p w:rsidR="00202FEB" w:rsidRDefault="00202FEB" w:rsidP="00F60C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5A90" w:rsidRDefault="00735956" w:rsidP="00061EE6">
    <w:pPr>
      <w:pStyle w:val="Koptekst"/>
      <w:ind w:left="-1417"/>
    </w:pPr>
    <w:r>
      <w:rPr>
        <w:noProof/>
      </w:rPr>
      <w:drawing>
        <wp:anchor distT="0" distB="0" distL="114300" distR="114300" simplePos="0" relativeHeight="251656192" behindDoc="0" locked="0" layoutInCell="1" allowOverlap="1">
          <wp:simplePos x="0" y="0"/>
          <wp:positionH relativeFrom="column">
            <wp:posOffset>4016058</wp:posOffset>
          </wp:positionH>
          <wp:positionV relativeFrom="paragraph">
            <wp:posOffset>9279</wp:posOffset>
          </wp:positionV>
          <wp:extent cx="3709244" cy="1257935"/>
          <wp:effectExtent l="0" t="0" r="5715" b="0"/>
          <wp:wrapNone/>
          <wp:docPr id="41" name="Afbeelding 41" descr="C:\Users\freek\AppData\Local\Microsoft\Windows\INetCache\Content.Word\prinsjesdag-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eek\AppData\Local\Microsoft\Windows\INetCache\Content.Word\prinsjesdag-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09244" cy="12579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46408D31">
          <wp:simplePos x="0" y="0"/>
          <wp:positionH relativeFrom="column">
            <wp:posOffset>-1037908</wp:posOffset>
          </wp:positionH>
          <wp:positionV relativeFrom="paragraph">
            <wp:posOffset>9207</wp:posOffset>
          </wp:positionV>
          <wp:extent cx="5760720" cy="1258141"/>
          <wp:effectExtent l="0" t="0" r="0" b="0"/>
          <wp:wrapNone/>
          <wp:docPr id="42" name="Afbeelding 42" descr="Afbeeldingsresultaat voor prinsjesdag 2016 fisca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prinsjesdag 2016 fisca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60720" cy="1258141"/>
                  </a:xfrm>
                  <a:prstGeom prst="rect">
                    <a:avLst/>
                  </a:prstGeom>
                  <a:noFill/>
                  <a:ln>
                    <a:noFill/>
                  </a:ln>
                </pic:spPr>
              </pic:pic>
            </a:graphicData>
          </a:graphic>
        </wp:anchor>
      </w:drawing>
    </w:r>
  </w:p>
  <w:p w:rsidR="00735956" w:rsidRDefault="00735956" w:rsidP="00027CE4">
    <w:pPr>
      <w:ind w:left="180"/>
      <w:jc w:val="both"/>
      <w:rPr>
        <w:rFonts w:ascii="Syntax-Roman" w:hAnsi="Syntax-Roman"/>
        <w:b/>
        <w:color w:val="17365D"/>
        <w:spacing w:val="20"/>
        <w:sz w:val="28"/>
        <w:szCs w:val="28"/>
      </w:rPr>
    </w:pPr>
  </w:p>
  <w:p w:rsidR="00735956" w:rsidRDefault="00735956" w:rsidP="00027CE4">
    <w:pPr>
      <w:ind w:left="180"/>
      <w:jc w:val="both"/>
      <w:rPr>
        <w:rFonts w:ascii="Syntax-Roman" w:hAnsi="Syntax-Roman"/>
        <w:b/>
        <w:color w:val="17365D"/>
        <w:spacing w:val="20"/>
        <w:sz w:val="28"/>
        <w:szCs w:val="28"/>
      </w:rPr>
    </w:pPr>
  </w:p>
  <w:p w:rsidR="00735956" w:rsidRDefault="00735956" w:rsidP="00027CE4">
    <w:pPr>
      <w:ind w:left="180"/>
      <w:jc w:val="both"/>
      <w:rPr>
        <w:rFonts w:ascii="Syntax-Roman" w:hAnsi="Syntax-Roman"/>
        <w:b/>
        <w:color w:val="17365D"/>
        <w:spacing w:val="20"/>
        <w:sz w:val="28"/>
        <w:szCs w:val="28"/>
      </w:rPr>
    </w:pPr>
  </w:p>
  <w:p w:rsidR="00735956" w:rsidRDefault="00735956" w:rsidP="00027CE4">
    <w:pPr>
      <w:ind w:left="180"/>
      <w:jc w:val="both"/>
      <w:rPr>
        <w:rFonts w:ascii="Syntax-Roman" w:hAnsi="Syntax-Roman"/>
        <w:b/>
        <w:color w:val="17365D"/>
        <w:spacing w:val="20"/>
        <w:sz w:val="28"/>
        <w:szCs w:val="28"/>
      </w:rPr>
    </w:pPr>
  </w:p>
  <w:p w:rsidR="00735956" w:rsidRDefault="00735956" w:rsidP="00027CE4">
    <w:pPr>
      <w:ind w:left="180"/>
      <w:jc w:val="both"/>
      <w:rPr>
        <w:rFonts w:ascii="Syntax-Roman" w:hAnsi="Syntax-Roman"/>
        <w:b/>
        <w:color w:val="17365D"/>
        <w:spacing w:val="20"/>
        <w:sz w:val="28"/>
        <w:szCs w:val="28"/>
      </w:rPr>
    </w:pPr>
  </w:p>
  <w:p w:rsidR="00735956" w:rsidRDefault="00735956" w:rsidP="00027CE4">
    <w:pPr>
      <w:ind w:left="180"/>
      <w:jc w:val="both"/>
      <w:rPr>
        <w:rFonts w:ascii="Syntax-Roman" w:hAnsi="Syntax-Roman"/>
        <w:b/>
        <w:color w:val="17365D"/>
        <w:spacing w:val="20"/>
        <w:sz w:val="28"/>
        <w:szCs w:val="28"/>
      </w:rPr>
    </w:pPr>
  </w:p>
  <w:p w:rsidR="003B5A90" w:rsidRPr="00735956" w:rsidRDefault="003B5A90" w:rsidP="00735956">
    <w:pPr>
      <w:ind w:left="180"/>
      <w:jc w:val="center"/>
      <w:rPr>
        <w:rFonts w:ascii="Syntax-Roman" w:hAnsi="Syntax-Roman"/>
        <w:b/>
        <w:color w:val="17365D"/>
        <w:spacing w:val="20"/>
      </w:rPr>
    </w:pPr>
    <w:r w:rsidRPr="00735956">
      <w:rPr>
        <w:rFonts w:ascii="Michroma" w:hAnsi="Michroma"/>
        <w:b/>
        <w:color w:val="17365D"/>
        <w:spacing w:val="20"/>
      </w:rPr>
      <w:t>PRINSJESDAGSPECIAL - BELASTINGPLAN 2017</w:t>
    </w:r>
  </w:p>
  <w:p w:rsidR="003B5A90" w:rsidRPr="002A7430" w:rsidRDefault="003B5A90" w:rsidP="002A7430">
    <w:pPr>
      <w:rPr>
        <w:rFonts w:ascii="Syntax-Roman" w:hAnsi="Syntax-Roman"/>
        <w:spacing w:val="2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F19DC"/>
    <w:multiLevelType w:val="hybridMultilevel"/>
    <w:tmpl w:val="5CB64EF0"/>
    <w:lvl w:ilvl="0" w:tplc="BC220DCA">
      <w:start w:val="3"/>
      <w:numFmt w:val="bullet"/>
      <w:lvlText w:val="-"/>
      <w:lvlJc w:val="left"/>
      <w:pPr>
        <w:ind w:left="540" w:hanging="360"/>
      </w:pPr>
      <w:rPr>
        <w:rFonts w:ascii="Garamond" w:eastAsia="Times New Roman" w:hAnsi="Garamond" w:cs="Times New Roman" w:hint="default"/>
      </w:rPr>
    </w:lvl>
    <w:lvl w:ilvl="1" w:tplc="04130003" w:tentative="1">
      <w:start w:val="1"/>
      <w:numFmt w:val="bullet"/>
      <w:lvlText w:val="o"/>
      <w:lvlJc w:val="left"/>
      <w:pPr>
        <w:ind w:left="1260" w:hanging="360"/>
      </w:pPr>
      <w:rPr>
        <w:rFonts w:ascii="Courier New" w:hAnsi="Courier New" w:cs="Courier New" w:hint="default"/>
      </w:rPr>
    </w:lvl>
    <w:lvl w:ilvl="2" w:tplc="04130005" w:tentative="1">
      <w:start w:val="1"/>
      <w:numFmt w:val="bullet"/>
      <w:lvlText w:val=""/>
      <w:lvlJc w:val="left"/>
      <w:pPr>
        <w:ind w:left="1980" w:hanging="360"/>
      </w:pPr>
      <w:rPr>
        <w:rFonts w:ascii="Wingdings" w:hAnsi="Wingdings" w:hint="default"/>
      </w:rPr>
    </w:lvl>
    <w:lvl w:ilvl="3" w:tplc="04130001" w:tentative="1">
      <w:start w:val="1"/>
      <w:numFmt w:val="bullet"/>
      <w:lvlText w:val=""/>
      <w:lvlJc w:val="left"/>
      <w:pPr>
        <w:ind w:left="2700" w:hanging="360"/>
      </w:pPr>
      <w:rPr>
        <w:rFonts w:ascii="Symbol" w:hAnsi="Symbol" w:hint="default"/>
      </w:rPr>
    </w:lvl>
    <w:lvl w:ilvl="4" w:tplc="04130003" w:tentative="1">
      <w:start w:val="1"/>
      <w:numFmt w:val="bullet"/>
      <w:lvlText w:val="o"/>
      <w:lvlJc w:val="left"/>
      <w:pPr>
        <w:ind w:left="3420" w:hanging="360"/>
      </w:pPr>
      <w:rPr>
        <w:rFonts w:ascii="Courier New" w:hAnsi="Courier New" w:cs="Courier New" w:hint="default"/>
      </w:rPr>
    </w:lvl>
    <w:lvl w:ilvl="5" w:tplc="04130005" w:tentative="1">
      <w:start w:val="1"/>
      <w:numFmt w:val="bullet"/>
      <w:lvlText w:val=""/>
      <w:lvlJc w:val="left"/>
      <w:pPr>
        <w:ind w:left="4140" w:hanging="360"/>
      </w:pPr>
      <w:rPr>
        <w:rFonts w:ascii="Wingdings" w:hAnsi="Wingdings" w:hint="default"/>
      </w:rPr>
    </w:lvl>
    <w:lvl w:ilvl="6" w:tplc="04130001" w:tentative="1">
      <w:start w:val="1"/>
      <w:numFmt w:val="bullet"/>
      <w:lvlText w:val=""/>
      <w:lvlJc w:val="left"/>
      <w:pPr>
        <w:ind w:left="4860" w:hanging="360"/>
      </w:pPr>
      <w:rPr>
        <w:rFonts w:ascii="Symbol" w:hAnsi="Symbol" w:hint="default"/>
      </w:rPr>
    </w:lvl>
    <w:lvl w:ilvl="7" w:tplc="04130003" w:tentative="1">
      <w:start w:val="1"/>
      <w:numFmt w:val="bullet"/>
      <w:lvlText w:val="o"/>
      <w:lvlJc w:val="left"/>
      <w:pPr>
        <w:ind w:left="5580" w:hanging="360"/>
      </w:pPr>
      <w:rPr>
        <w:rFonts w:ascii="Courier New" w:hAnsi="Courier New" w:cs="Courier New" w:hint="default"/>
      </w:rPr>
    </w:lvl>
    <w:lvl w:ilvl="8" w:tplc="04130005" w:tentative="1">
      <w:start w:val="1"/>
      <w:numFmt w:val="bullet"/>
      <w:lvlText w:val=""/>
      <w:lvlJc w:val="left"/>
      <w:pPr>
        <w:ind w:left="6300" w:hanging="360"/>
      </w:pPr>
      <w:rPr>
        <w:rFonts w:ascii="Wingdings" w:hAnsi="Wingdings" w:hint="default"/>
      </w:rPr>
    </w:lvl>
  </w:abstractNum>
  <w:abstractNum w:abstractNumId="1" w15:restartNumberingAfterBreak="0">
    <w:nsid w:val="063C6E7B"/>
    <w:multiLevelType w:val="hybridMultilevel"/>
    <w:tmpl w:val="995030C2"/>
    <w:lvl w:ilvl="0" w:tplc="72CED270">
      <w:numFmt w:val="bullet"/>
      <w:lvlText w:val="-"/>
      <w:lvlJc w:val="left"/>
      <w:pPr>
        <w:ind w:left="540" w:hanging="360"/>
      </w:pPr>
      <w:rPr>
        <w:rFonts w:ascii="Garamond" w:eastAsia="Times New Roman" w:hAnsi="Garamond" w:cs="Times New Roman" w:hint="default"/>
      </w:rPr>
    </w:lvl>
    <w:lvl w:ilvl="1" w:tplc="04130003" w:tentative="1">
      <w:start w:val="1"/>
      <w:numFmt w:val="bullet"/>
      <w:lvlText w:val="o"/>
      <w:lvlJc w:val="left"/>
      <w:pPr>
        <w:ind w:left="1260" w:hanging="360"/>
      </w:pPr>
      <w:rPr>
        <w:rFonts w:ascii="Courier New" w:hAnsi="Courier New" w:cs="Courier New" w:hint="default"/>
      </w:rPr>
    </w:lvl>
    <w:lvl w:ilvl="2" w:tplc="04130005" w:tentative="1">
      <w:start w:val="1"/>
      <w:numFmt w:val="bullet"/>
      <w:lvlText w:val=""/>
      <w:lvlJc w:val="left"/>
      <w:pPr>
        <w:ind w:left="1980" w:hanging="360"/>
      </w:pPr>
      <w:rPr>
        <w:rFonts w:ascii="Wingdings" w:hAnsi="Wingdings" w:hint="default"/>
      </w:rPr>
    </w:lvl>
    <w:lvl w:ilvl="3" w:tplc="04130001" w:tentative="1">
      <w:start w:val="1"/>
      <w:numFmt w:val="bullet"/>
      <w:lvlText w:val=""/>
      <w:lvlJc w:val="left"/>
      <w:pPr>
        <w:ind w:left="2700" w:hanging="360"/>
      </w:pPr>
      <w:rPr>
        <w:rFonts w:ascii="Symbol" w:hAnsi="Symbol" w:hint="default"/>
      </w:rPr>
    </w:lvl>
    <w:lvl w:ilvl="4" w:tplc="04130003" w:tentative="1">
      <w:start w:val="1"/>
      <w:numFmt w:val="bullet"/>
      <w:lvlText w:val="o"/>
      <w:lvlJc w:val="left"/>
      <w:pPr>
        <w:ind w:left="3420" w:hanging="360"/>
      </w:pPr>
      <w:rPr>
        <w:rFonts w:ascii="Courier New" w:hAnsi="Courier New" w:cs="Courier New" w:hint="default"/>
      </w:rPr>
    </w:lvl>
    <w:lvl w:ilvl="5" w:tplc="04130005" w:tentative="1">
      <w:start w:val="1"/>
      <w:numFmt w:val="bullet"/>
      <w:lvlText w:val=""/>
      <w:lvlJc w:val="left"/>
      <w:pPr>
        <w:ind w:left="4140" w:hanging="360"/>
      </w:pPr>
      <w:rPr>
        <w:rFonts w:ascii="Wingdings" w:hAnsi="Wingdings" w:hint="default"/>
      </w:rPr>
    </w:lvl>
    <w:lvl w:ilvl="6" w:tplc="04130001" w:tentative="1">
      <w:start w:val="1"/>
      <w:numFmt w:val="bullet"/>
      <w:lvlText w:val=""/>
      <w:lvlJc w:val="left"/>
      <w:pPr>
        <w:ind w:left="4860" w:hanging="360"/>
      </w:pPr>
      <w:rPr>
        <w:rFonts w:ascii="Symbol" w:hAnsi="Symbol" w:hint="default"/>
      </w:rPr>
    </w:lvl>
    <w:lvl w:ilvl="7" w:tplc="04130003" w:tentative="1">
      <w:start w:val="1"/>
      <w:numFmt w:val="bullet"/>
      <w:lvlText w:val="o"/>
      <w:lvlJc w:val="left"/>
      <w:pPr>
        <w:ind w:left="5580" w:hanging="360"/>
      </w:pPr>
      <w:rPr>
        <w:rFonts w:ascii="Courier New" w:hAnsi="Courier New" w:cs="Courier New" w:hint="default"/>
      </w:rPr>
    </w:lvl>
    <w:lvl w:ilvl="8" w:tplc="04130005" w:tentative="1">
      <w:start w:val="1"/>
      <w:numFmt w:val="bullet"/>
      <w:lvlText w:val=""/>
      <w:lvlJc w:val="left"/>
      <w:pPr>
        <w:ind w:left="6300" w:hanging="360"/>
      </w:pPr>
      <w:rPr>
        <w:rFonts w:ascii="Wingdings" w:hAnsi="Wingdings" w:hint="default"/>
      </w:rPr>
    </w:lvl>
  </w:abstractNum>
  <w:abstractNum w:abstractNumId="2" w15:restartNumberingAfterBreak="0">
    <w:nsid w:val="078F2B9E"/>
    <w:multiLevelType w:val="hybridMultilevel"/>
    <w:tmpl w:val="02861E64"/>
    <w:lvl w:ilvl="0" w:tplc="86DC27F2">
      <w:start w:val="3"/>
      <w:numFmt w:val="bullet"/>
      <w:lvlText w:val="-"/>
      <w:lvlJc w:val="left"/>
      <w:pPr>
        <w:ind w:left="720" w:hanging="360"/>
      </w:pPr>
      <w:rPr>
        <w:rFonts w:ascii="Garamond" w:eastAsia="Times New Roman" w:hAnsi="Garamond"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44F43FF"/>
    <w:multiLevelType w:val="hybridMultilevel"/>
    <w:tmpl w:val="C270F4A4"/>
    <w:lvl w:ilvl="0" w:tplc="C9B6DCEE">
      <w:start w:val="1"/>
      <w:numFmt w:val="bullet"/>
      <w:lvlText w:val="•"/>
      <w:lvlJc w:val="left"/>
      <w:pPr>
        <w:tabs>
          <w:tab w:val="num" w:pos="720"/>
        </w:tabs>
        <w:ind w:left="720" w:hanging="360"/>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6F1508"/>
    <w:multiLevelType w:val="hybridMultilevel"/>
    <w:tmpl w:val="FFE0CB8C"/>
    <w:lvl w:ilvl="0" w:tplc="04130019">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CA05305"/>
    <w:multiLevelType w:val="hybridMultilevel"/>
    <w:tmpl w:val="396C523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08B197A"/>
    <w:multiLevelType w:val="hybridMultilevel"/>
    <w:tmpl w:val="168671A8"/>
    <w:lvl w:ilvl="0" w:tplc="86DC27F2">
      <w:start w:val="3"/>
      <w:numFmt w:val="bullet"/>
      <w:lvlText w:val="-"/>
      <w:lvlJc w:val="left"/>
      <w:pPr>
        <w:ind w:left="900" w:hanging="360"/>
      </w:pPr>
      <w:rPr>
        <w:rFonts w:ascii="Garamond" w:eastAsia="Times New Roman" w:hAnsi="Garamond" w:cs="Times New Roman" w:hint="default"/>
      </w:rPr>
    </w:lvl>
    <w:lvl w:ilvl="1" w:tplc="04130003" w:tentative="1">
      <w:start w:val="1"/>
      <w:numFmt w:val="bullet"/>
      <w:lvlText w:val="o"/>
      <w:lvlJc w:val="left"/>
      <w:pPr>
        <w:ind w:left="1620" w:hanging="360"/>
      </w:pPr>
      <w:rPr>
        <w:rFonts w:ascii="Courier New" w:hAnsi="Courier New" w:cs="Courier New" w:hint="default"/>
      </w:rPr>
    </w:lvl>
    <w:lvl w:ilvl="2" w:tplc="04130005" w:tentative="1">
      <w:start w:val="1"/>
      <w:numFmt w:val="bullet"/>
      <w:lvlText w:val=""/>
      <w:lvlJc w:val="left"/>
      <w:pPr>
        <w:ind w:left="2340" w:hanging="360"/>
      </w:pPr>
      <w:rPr>
        <w:rFonts w:ascii="Wingdings" w:hAnsi="Wingdings" w:hint="default"/>
      </w:rPr>
    </w:lvl>
    <w:lvl w:ilvl="3" w:tplc="04130001" w:tentative="1">
      <w:start w:val="1"/>
      <w:numFmt w:val="bullet"/>
      <w:lvlText w:val=""/>
      <w:lvlJc w:val="left"/>
      <w:pPr>
        <w:ind w:left="3060" w:hanging="360"/>
      </w:pPr>
      <w:rPr>
        <w:rFonts w:ascii="Symbol" w:hAnsi="Symbol" w:hint="default"/>
      </w:rPr>
    </w:lvl>
    <w:lvl w:ilvl="4" w:tplc="04130003" w:tentative="1">
      <w:start w:val="1"/>
      <w:numFmt w:val="bullet"/>
      <w:lvlText w:val="o"/>
      <w:lvlJc w:val="left"/>
      <w:pPr>
        <w:ind w:left="3780" w:hanging="360"/>
      </w:pPr>
      <w:rPr>
        <w:rFonts w:ascii="Courier New" w:hAnsi="Courier New" w:cs="Courier New" w:hint="default"/>
      </w:rPr>
    </w:lvl>
    <w:lvl w:ilvl="5" w:tplc="04130005" w:tentative="1">
      <w:start w:val="1"/>
      <w:numFmt w:val="bullet"/>
      <w:lvlText w:val=""/>
      <w:lvlJc w:val="left"/>
      <w:pPr>
        <w:ind w:left="4500" w:hanging="360"/>
      </w:pPr>
      <w:rPr>
        <w:rFonts w:ascii="Wingdings" w:hAnsi="Wingdings" w:hint="default"/>
      </w:rPr>
    </w:lvl>
    <w:lvl w:ilvl="6" w:tplc="04130001" w:tentative="1">
      <w:start w:val="1"/>
      <w:numFmt w:val="bullet"/>
      <w:lvlText w:val=""/>
      <w:lvlJc w:val="left"/>
      <w:pPr>
        <w:ind w:left="5220" w:hanging="360"/>
      </w:pPr>
      <w:rPr>
        <w:rFonts w:ascii="Symbol" w:hAnsi="Symbol" w:hint="default"/>
      </w:rPr>
    </w:lvl>
    <w:lvl w:ilvl="7" w:tplc="04130003" w:tentative="1">
      <w:start w:val="1"/>
      <w:numFmt w:val="bullet"/>
      <w:lvlText w:val="o"/>
      <w:lvlJc w:val="left"/>
      <w:pPr>
        <w:ind w:left="5940" w:hanging="360"/>
      </w:pPr>
      <w:rPr>
        <w:rFonts w:ascii="Courier New" w:hAnsi="Courier New" w:cs="Courier New" w:hint="default"/>
      </w:rPr>
    </w:lvl>
    <w:lvl w:ilvl="8" w:tplc="04130005" w:tentative="1">
      <w:start w:val="1"/>
      <w:numFmt w:val="bullet"/>
      <w:lvlText w:val=""/>
      <w:lvlJc w:val="left"/>
      <w:pPr>
        <w:ind w:left="6660" w:hanging="360"/>
      </w:pPr>
      <w:rPr>
        <w:rFonts w:ascii="Wingdings" w:hAnsi="Wingdings" w:hint="default"/>
      </w:rPr>
    </w:lvl>
  </w:abstractNum>
  <w:abstractNum w:abstractNumId="7" w15:restartNumberingAfterBreak="0">
    <w:nsid w:val="28CF5475"/>
    <w:multiLevelType w:val="hybridMultilevel"/>
    <w:tmpl w:val="5352F4C2"/>
    <w:lvl w:ilvl="0" w:tplc="2AD46014">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86A1660"/>
    <w:multiLevelType w:val="hybridMultilevel"/>
    <w:tmpl w:val="03A2A3DA"/>
    <w:lvl w:ilvl="0" w:tplc="F7DEC35A">
      <w:numFmt w:val="bullet"/>
      <w:lvlText w:val="-"/>
      <w:lvlJc w:val="left"/>
      <w:pPr>
        <w:ind w:left="720" w:hanging="360"/>
      </w:pPr>
      <w:rPr>
        <w:rFonts w:ascii="Garamond" w:eastAsia="Calibri" w:hAnsi="Garamond"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B1F0134"/>
    <w:multiLevelType w:val="hybridMultilevel"/>
    <w:tmpl w:val="DC1258E6"/>
    <w:lvl w:ilvl="0" w:tplc="3FCCD7EA">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C416ED5"/>
    <w:multiLevelType w:val="hybridMultilevel"/>
    <w:tmpl w:val="E93C4E96"/>
    <w:lvl w:ilvl="0" w:tplc="57CEE1E0">
      <w:start w:val="83"/>
      <w:numFmt w:val="bullet"/>
      <w:lvlText w:val="-"/>
      <w:lvlJc w:val="left"/>
      <w:pPr>
        <w:tabs>
          <w:tab w:val="num" w:pos="720"/>
        </w:tabs>
        <w:ind w:left="720" w:hanging="360"/>
      </w:pPr>
      <w:rPr>
        <w:rFonts w:ascii="Calibri" w:eastAsia="Times New Roman" w:hAnsi="Calibri"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4555032"/>
    <w:multiLevelType w:val="hybridMultilevel"/>
    <w:tmpl w:val="D1DC848E"/>
    <w:lvl w:ilvl="0" w:tplc="04130001">
      <w:start w:val="1"/>
      <w:numFmt w:val="bullet"/>
      <w:lvlText w:val=""/>
      <w:lvlJc w:val="left"/>
      <w:pPr>
        <w:ind w:left="900" w:hanging="360"/>
      </w:pPr>
      <w:rPr>
        <w:rFonts w:ascii="Symbol" w:hAnsi="Symbol" w:hint="default"/>
      </w:rPr>
    </w:lvl>
    <w:lvl w:ilvl="1" w:tplc="04130003">
      <w:start w:val="1"/>
      <w:numFmt w:val="bullet"/>
      <w:lvlText w:val="o"/>
      <w:lvlJc w:val="left"/>
      <w:pPr>
        <w:ind w:left="1620" w:hanging="360"/>
      </w:pPr>
      <w:rPr>
        <w:rFonts w:ascii="Courier New" w:hAnsi="Courier New" w:cs="Courier New" w:hint="default"/>
      </w:rPr>
    </w:lvl>
    <w:lvl w:ilvl="2" w:tplc="04130005">
      <w:start w:val="1"/>
      <w:numFmt w:val="bullet"/>
      <w:lvlText w:val=""/>
      <w:lvlJc w:val="left"/>
      <w:pPr>
        <w:ind w:left="2340" w:hanging="360"/>
      </w:pPr>
      <w:rPr>
        <w:rFonts w:ascii="Wingdings" w:hAnsi="Wingdings" w:hint="default"/>
      </w:rPr>
    </w:lvl>
    <w:lvl w:ilvl="3" w:tplc="04130001">
      <w:start w:val="1"/>
      <w:numFmt w:val="bullet"/>
      <w:lvlText w:val=""/>
      <w:lvlJc w:val="left"/>
      <w:pPr>
        <w:ind w:left="3060" w:hanging="360"/>
      </w:pPr>
      <w:rPr>
        <w:rFonts w:ascii="Symbol" w:hAnsi="Symbol" w:hint="default"/>
      </w:rPr>
    </w:lvl>
    <w:lvl w:ilvl="4" w:tplc="04130003" w:tentative="1">
      <w:start w:val="1"/>
      <w:numFmt w:val="bullet"/>
      <w:lvlText w:val="o"/>
      <w:lvlJc w:val="left"/>
      <w:pPr>
        <w:ind w:left="3780" w:hanging="360"/>
      </w:pPr>
      <w:rPr>
        <w:rFonts w:ascii="Courier New" w:hAnsi="Courier New" w:cs="Courier New" w:hint="default"/>
      </w:rPr>
    </w:lvl>
    <w:lvl w:ilvl="5" w:tplc="04130005" w:tentative="1">
      <w:start w:val="1"/>
      <w:numFmt w:val="bullet"/>
      <w:lvlText w:val=""/>
      <w:lvlJc w:val="left"/>
      <w:pPr>
        <w:ind w:left="4500" w:hanging="360"/>
      </w:pPr>
      <w:rPr>
        <w:rFonts w:ascii="Wingdings" w:hAnsi="Wingdings" w:hint="default"/>
      </w:rPr>
    </w:lvl>
    <w:lvl w:ilvl="6" w:tplc="04130001" w:tentative="1">
      <w:start w:val="1"/>
      <w:numFmt w:val="bullet"/>
      <w:lvlText w:val=""/>
      <w:lvlJc w:val="left"/>
      <w:pPr>
        <w:ind w:left="5220" w:hanging="360"/>
      </w:pPr>
      <w:rPr>
        <w:rFonts w:ascii="Symbol" w:hAnsi="Symbol" w:hint="default"/>
      </w:rPr>
    </w:lvl>
    <w:lvl w:ilvl="7" w:tplc="04130003" w:tentative="1">
      <w:start w:val="1"/>
      <w:numFmt w:val="bullet"/>
      <w:lvlText w:val="o"/>
      <w:lvlJc w:val="left"/>
      <w:pPr>
        <w:ind w:left="5940" w:hanging="360"/>
      </w:pPr>
      <w:rPr>
        <w:rFonts w:ascii="Courier New" w:hAnsi="Courier New" w:cs="Courier New" w:hint="default"/>
      </w:rPr>
    </w:lvl>
    <w:lvl w:ilvl="8" w:tplc="04130005" w:tentative="1">
      <w:start w:val="1"/>
      <w:numFmt w:val="bullet"/>
      <w:lvlText w:val=""/>
      <w:lvlJc w:val="left"/>
      <w:pPr>
        <w:ind w:left="6660" w:hanging="360"/>
      </w:pPr>
      <w:rPr>
        <w:rFonts w:ascii="Wingdings" w:hAnsi="Wingdings" w:hint="default"/>
      </w:rPr>
    </w:lvl>
  </w:abstractNum>
  <w:abstractNum w:abstractNumId="12" w15:restartNumberingAfterBreak="0">
    <w:nsid w:val="6881765E"/>
    <w:multiLevelType w:val="hybridMultilevel"/>
    <w:tmpl w:val="B1E04ABA"/>
    <w:lvl w:ilvl="0" w:tplc="86DC27F2">
      <w:start w:val="3"/>
      <w:numFmt w:val="bullet"/>
      <w:lvlText w:val="-"/>
      <w:lvlJc w:val="left"/>
      <w:pPr>
        <w:ind w:left="720" w:hanging="360"/>
      </w:pPr>
      <w:rPr>
        <w:rFonts w:ascii="Garamond" w:eastAsia="Times New Roman" w:hAnsi="Garamond" w:cs="Times New Roman" w:hint="default"/>
      </w:rPr>
    </w:lvl>
    <w:lvl w:ilvl="1" w:tplc="86DC27F2">
      <w:start w:val="3"/>
      <w:numFmt w:val="bullet"/>
      <w:lvlText w:val="-"/>
      <w:lvlJc w:val="left"/>
      <w:pPr>
        <w:ind w:left="1440" w:hanging="360"/>
      </w:pPr>
      <w:rPr>
        <w:rFonts w:ascii="Garamond" w:eastAsia="Times New Roman" w:hAnsi="Garamond" w:cs="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8D87DF3"/>
    <w:multiLevelType w:val="hybridMultilevel"/>
    <w:tmpl w:val="F58C97E4"/>
    <w:lvl w:ilvl="0" w:tplc="86DC27F2">
      <w:start w:val="3"/>
      <w:numFmt w:val="bullet"/>
      <w:lvlText w:val="-"/>
      <w:lvlJc w:val="left"/>
      <w:pPr>
        <w:ind w:left="540" w:hanging="360"/>
      </w:pPr>
      <w:rPr>
        <w:rFonts w:ascii="Garamond" w:eastAsia="Times New Roman" w:hAnsi="Garamond" w:cs="Times New Roman" w:hint="default"/>
      </w:rPr>
    </w:lvl>
    <w:lvl w:ilvl="1" w:tplc="04130003" w:tentative="1">
      <w:start w:val="1"/>
      <w:numFmt w:val="bullet"/>
      <w:lvlText w:val="o"/>
      <w:lvlJc w:val="left"/>
      <w:pPr>
        <w:ind w:left="1260" w:hanging="360"/>
      </w:pPr>
      <w:rPr>
        <w:rFonts w:ascii="Courier New" w:hAnsi="Courier New" w:cs="Courier New" w:hint="default"/>
      </w:rPr>
    </w:lvl>
    <w:lvl w:ilvl="2" w:tplc="04130005" w:tentative="1">
      <w:start w:val="1"/>
      <w:numFmt w:val="bullet"/>
      <w:lvlText w:val=""/>
      <w:lvlJc w:val="left"/>
      <w:pPr>
        <w:ind w:left="1980" w:hanging="360"/>
      </w:pPr>
      <w:rPr>
        <w:rFonts w:ascii="Wingdings" w:hAnsi="Wingdings" w:hint="default"/>
      </w:rPr>
    </w:lvl>
    <w:lvl w:ilvl="3" w:tplc="04130001" w:tentative="1">
      <w:start w:val="1"/>
      <w:numFmt w:val="bullet"/>
      <w:lvlText w:val=""/>
      <w:lvlJc w:val="left"/>
      <w:pPr>
        <w:ind w:left="2700" w:hanging="360"/>
      </w:pPr>
      <w:rPr>
        <w:rFonts w:ascii="Symbol" w:hAnsi="Symbol" w:hint="default"/>
      </w:rPr>
    </w:lvl>
    <w:lvl w:ilvl="4" w:tplc="04130003" w:tentative="1">
      <w:start w:val="1"/>
      <w:numFmt w:val="bullet"/>
      <w:lvlText w:val="o"/>
      <w:lvlJc w:val="left"/>
      <w:pPr>
        <w:ind w:left="3420" w:hanging="360"/>
      </w:pPr>
      <w:rPr>
        <w:rFonts w:ascii="Courier New" w:hAnsi="Courier New" w:cs="Courier New" w:hint="default"/>
      </w:rPr>
    </w:lvl>
    <w:lvl w:ilvl="5" w:tplc="04130005" w:tentative="1">
      <w:start w:val="1"/>
      <w:numFmt w:val="bullet"/>
      <w:lvlText w:val=""/>
      <w:lvlJc w:val="left"/>
      <w:pPr>
        <w:ind w:left="4140" w:hanging="360"/>
      </w:pPr>
      <w:rPr>
        <w:rFonts w:ascii="Wingdings" w:hAnsi="Wingdings" w:hint="default"/>
      </w:rPr>
    </w:lvl>
    <w:lvl w:ilvl="6" w:tplc="04130001" w:tentative="1">
      <w:start w:val="1"/>
      <w:numFmt w:val="bullet"/>
      <w:lvlText w:val=""/>
      <w:lvlJc w:val="left"/>
      <w:pPr>
        <w:ind w:left="4860" w:hanging="360"/>
      </w:pPr>
      <w:rPr>
        <w:rFonts w:ascii="Symbol" w:hAnsi="Symbol" w:hint="default"/>
      </w:rPr>
    </w:lvl>
    <w:lvl w:ilvl="7" w:tplc="04130003" w:tentative="1">
      <w:start w:val="1"/>
      <w:numFmt w:val="bullet"/>
      <w:lvlText w:val="o"/>
      <w:lvlJc w:val="left"/>
      <w:pPr>
        <w:ind w:left="5580" w:hanging="360"/>
      </w:pPr>
      <w:rPr>
        <w:rFonts w:ascii="Courier New" w:hAnsi="Courier New" w:cs="Courier New" w:hint="default"/>
      </w:rPr>
    </w:lvl>
    <w:lvl w:ilvl="8" w:tplc="04130005" w:tentative="1">
      <w:start w:val="1"/>
      <w:numFmt w:val="bullet"/>
      <w:lvlText w:val=""/>
      <w:lvlJc w:val="left"/>
      <w:pPr>
        <w:ind w:left="6300" w:hanging="360"/>
      </w:pPr>
      <w:rPr>
        <w:rFonts w:ascii="Wingdings" w:hAnsi="Wingdings" w:hint="default"/>
      </w:rPr>
    </w:lvl>
  </w:abstractNum>
  <w:abstractNum w:abstractNumId="14" w15:restartNumberingAfterBreak="0">
    <w:nsid w:val="69472928"/>
    <w:multiLevelType w:val="hybridMultilevel"/>
    <w:tmpl w:val="5D80717A"/>
    <w:lvl w:ilvl="0" w:tplc="8CF07F4A">
      <w:numFmt w:val="bullet"/>
      <w:lvlText w:val="-"/>
      <w:lvlJc w:val="left"/>
      <w:pPr>
        <w:tabs>
          <w:tab w:val="num" w:pos="720"/>
        </w:tabs>
        <w:ind w:left="720" w:hanging="360"/>
      </w:pPr>
      <w:rPr>
        <w:rFonts w:ascii="Garamond" w:eastAsia="Times New Roman" w:hAnsi="Garamond"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CD0DC0"/>
    <w:multiLevelType w:val="multilevel"/>
    <w:tmpl w:val="7076C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16B6689"/>
    <w:multiLevelType w:val="hybridMultilevel"/>
    <w:tmpl w:val="7CFA23CE"/>
    <w:lvl w:ilvl="0" w:tplc="8CF07F4A">
      <w:numFmt w:val="bullet"/>
      <w:lvlText w:val="-"/>
      <w:lvlJc w:val="left"/>
      <w:pPr>
        <w:tabs>
          <w:tab w:val="num" w:pos="720"/>
        </w:tabs>
        <w:ind w:left="720" w:hanging="360"/>
      </w:pPr>
      <w:rPr>
        <w:rFonts w:ascii="Garamond" w:eastAsia="Times New Roman" w:hAnsi="Garamond"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2BC6228"/>
    <w:multiLevelType w:val="hybridMultilevel"/>
    <w:tmpl w:val="C9B49154"/>
    <w:lvl w:ilvl="0" w:tplc="A172FD38">
      <w:start w:val="1"/>
      <w:numFmt w:val="bullet"/>
      <w:lvlText w:val=""/>
      <w:lvlJc w:val="left"/>
      <w:pPr>
        <w:tabs>
          <w:tab w:val="num" w:pos="2552"/>
        </w:tabs>
        <w:ind w:left="2552" w:hanging="397"/>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813215"/>
    <w:multiLevelType w:val="hybridMultilevel"/>
    <w:tmpl w:val="4E8E0970"/>
    <w:lvl w:ilvl="0" w:tplc="0413000B">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833010B"/>
    <w:multiLevelType w:val="hybridMultilevel"/>
    <w:tmpl w:val="6BE0E786"/>
    <w:lvl w:ilvl="0" w:tplc="04130001">
      <w:start w:val="1"/>
      <w:numFmt w:val="bullet"/>
      <w:lvlText w:val=""/>
      <w:lvlJc w:val="left"/>
      <w:pPr>
        <w:ind w:left="900" w:hanging="360"/>
      </w:pPr>
      <w:rPr>
        <w:rFonts w:ascii="Symbol" w:hAnsi="Symbol" w:hint="default"/>
      </w:rPr>
    </w:lvl>
    <w:lvl w:ilvl="1" w:tplc="04130003" w:tentative="1">
      <w:start w:val="1"/>
      <w:numFmt w:val="bullet"/>
      <w:lvlText w:val="o"/>
      <w:lvlJc w:val="left"/>
      <w:pPr>
        <w:ind w:left="1620" w:hanging="360"/>
      </w:pPr>
      <w:rPr>
        <w:rFonts w:ascii="Courier New" w:hAnsi="Courier New" w:cs="Courier New" w:hint="default"/>
      </w:rPr>
    </w:lvl>
    <w:lvl w:ilvl="2" w:tplc="04130005" w:tentative="1">
      <w:start w:val="1"/>
      <w:numFmt w:val="bullet"/>
      <w:lvlText w:val=""/>
      <w:lvlJc w:val="left"/>
      <w:pPr>
        <w:ind w:left="2340" w:hanging="360"/>
      </w:pPr>
      <w:rPr>
        <w:rFonts w:ascii="Wingdings" w:hAnsi="Wingdings" w:hint="default"/>
      </w:rPr>
    </w:lvl>
    <w:lvl w:ilvl="3" w:tplc="04130001" w:tentative="1">
      <w:start w:val="1"/>
      <w:numFmt w:val="bullet"/>
      <w:lvlText w:val=""/>
      <w:lvlJc w:val="left"/>
      <w:pPr>
        <w:ind w:left="3060" w:hanging="360"/>
      </w:pPr>
      <w:rPr>
        <w:rFonts w:ascii="Symbol" w:hAnsi="Symbol" w:hint="default"/>
      </w:rPr>
    </w:lvl>
    <w:lvl w:ilvl="4" w:tplc="04130003" w:tentative="1">
      <w:start w:val="1"/>
      <w:numFmt w:val="bullet"/>
      <w:lvlText w:val="o"/>
      <w:lvlJc w:val="left"/>
      <w:pPr>
        <w:ind w:left="3780" w:hanging="360"/>
      </w:pPr>
      <w:rPr>
        <w:rFonts w:ascii="Courier New" w:hAnsi="Courier New" w:cs="Courier New" w:hint="default"/>
      </w:rPr>
    </w:lvl>
    <w:lvl w:ilvl="5" w:tplc="04130005" w:tentative="1">
      <w:start w:val="1"/>
      <w:numFmt w:val="bullet"/>
      <w:lvlText w:val=""/>
      <w:lvlJc w:val="left"/>
      <w:pPr>
        <w:ind w:left="4500" w:hanging="360"/>
      </w:pPr>
      <w:rPr>
        <w:rFonts w:ascii="Wingdings" w:hAnsi="Wingdings" w:hint="default"/>
      </w:rPr>
    </w:lvl>
    <w:lvl w:ilvl="6" w:tplc="04130001" w:tentative="1">
      <w:start w:val="1"/>
      <w:numFmt w:val="bullet"/>
      <w:lvlText w:val=""/>
      <w:lvlJc w:val="left"/>
      <w:pPr>
        <w:ind w:left="5220" w:hanging="360"/>
      </w:pPr>
      <w:rPr>
        <w:rFonts w:ascii="Symbol" w:hAnsi="Symbol" w:hint="default"/>
      </w:rPr>
    </w:lvl>
    <w:lvl w:ilvl="7" w:tplc="04130003" w:tentative="1">
      <w:start w:val="1"/>
      <w:numFmt w:val="bullet"/>
      <w:lvlText w:val="o"/>
      <w:lvlJc w:val="left"/>
      <w:pPr>
        <w:ind w:left="5940" w:hanging="360"/>
      </w:pPr>
      <w:rPr>
        <w:rFonts w:ascii="Courier New" w:hAnsi="Courier New" w:cs="Courier New" w:hint="default"/>
      </w:rPr>
    </w:lvl>
    <w:lvl w:ilvl="8" w:tplc="04130005" w:tentative="1">
      <w:start w:val="1"/>
      <w:numFmt w:val="bullet"/>
      <w:lvlText w:val=""/>
      <w:lvlJc w:val="left"/>
      <w:pPr>
        <w:ind w:left="6660" w:hanging="360"/>
      </w:pPr>
      <w:rPr>
        <w:rFonts w:ascii="Wingdings" w:hAnsi="Wingdings" w:hint="default"/>
      </w:rPr>
    </w:lvl>
  </w:abstractNum>
  <w:num w:numId="1">
    <w:abstractNumId w:val="7"/>
  </w:num>
  <w:num w:numId="2">
    <w:abstractNumId w:val="3"/>
  </w:num>
  <w:num w:numId="3">
    <w:abstractNumId w:val="17"/>
  </w:num>
  <w:num w:numId="4">
    <w:abstractNumId w:val="4"/>
  </w:num>
  <w:num w:numId="5">
    <w:abstractNumId w:val="5"/>
  </w:num>
  <w:num w:numId="6">
    <w:abstractNumId w:val="15"/>
  </w:num>
  <w:num w:numId="7">
    <w:abstractNumId w:val="16"/>
  </w:num>
  <w:num w:numId="8">
    <w:abstractNumId w:val="14"/>
  </w:num>
  <w:num w:numId="9">
    <w:abstractNumId w:val="8"/>
  </w:num>
  <w:num w:numId="10">
    <w:abstractNumId w:val="10"/>
  </w:num>
  <w:num w:numId="11">
    <w:abstractNumId w:val="9"/>
  </w:num>
  <w:num w:numId="12">
    <w:abstractNumId w:val="18"/>
  </w:num>
  <w:num w:numId="13">
    <w:abstractNumId w:val="13"/>
  </w:num>
  <w:num w:numId="14">
    <w:abstractNumId w:val="0"/>
  </w:num>
  <w:num w:numId="15">
    <w:abstractNumId w:val="1"/>
  </w:num>
  <w:num w:numId="16">
    <w:abstractNumId w:val="11"/>
  </w:num>
  <w:num w:numId="17">
    <w:abstractNumId w:val="19"/>
  </w:num>
  <w:num w:numId="18">
    <w:abstractNumId w:val="6"/>
  </w:num>
  <w:num w:numId="19">
    <w:abstractNumId w:val="2"/>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D08"/>
    <w:rsid w:val="000075FF"/>
    <w:rsid w:val="000138F4"/>
    <w:rsid w:val="00027CE4"/>
    <w:rsid w:val="00051183"/>
    <w:rsid w:val="00056320"/>
    <w:rsid w:val="00056F45"/>
    <w:rsid w:val="00061EE6"/>
    <w:rsid w:val="00062E11"/>
    <w:rsid w:val="00076430"/>
    <w:rsid w:val="00084E83"/>
    <w:rsid w:val="000967AC"/>
    <w:rsid w:val="000A6C35"/>
    <w:rsid w:val="000D581B"/>
    <w:rsid w:val="000D61F5"/>
    <w:rsid w:val="000E4DCB"/>
    <w:rsid w:val="000E5DEB"/>
    <w:rsid w:val="000E7793"/>
    <w:rsid w:val="001267AB"/>
    <w:rsid w:val="00141946"/>
    <w:rsid w:val="00146240"/>
    <w:rsid w:val="00182E9A"/>
    <w:rsid w:val="00185069"/>
    <w:rsid w:val="0019561E"/>
    <w:rsid w:val="001A6189"/>
    <w:rsid w:val="001C7293"/>
    <w:rsid w:val="001D2437"/>
    <w:rsid w:val="001D59CD"/>
    <w:rsid w:val="001F73CE"/>
    <w:rsid w:val="00200149"/>
    <w:rsid w:val="002017BA"/>
    <w:rsid w:val="00201C66"/>
    <w:rsid w:val="00202FEB"/>
    <w:rsid w:val="00205D6C"/>
    <w:rsid w:val="002143E5"/>
    <w:rsid w:val="00217988"/>
    <w:rsid w:val="0022330A"/>
    <w:rsid w:val="0023085C"/>
    <w:rsid w:val="00247D87"/>
    <w:rsid w:val="002526AE"/>
    <w:rsid w:val="0029153B"/>
    <w:rsid w:val="00291B2D"/>
    <w:rsid w:val="002965C1"/>
    <w:rsid w:val="002A3CD2"/>
    <w:rsid w:val="002A4928"/>
    <w:rsid w:val="002A7430"/>
    <w:rsid w:val="002B0416"/>
    <w:rsid w:val="002D440A"/>
    <w:rsid w:val="002E2F6A"/>
    <w:rsid w:val="002F3856"/>
    <w:rsid w:val="002F58A7"/>
    <w:rsid w:val="00310A8D"/>
    <w:rsid w:val="00314C01"/>
    <w:rsid w:val="0032047D"/>
    <w:rsid w:val="00326DFC"/>
    <w:rsid w:val="00351CEA"/>
    <w:rsid w:val="00360077"/>
    <w:rsid w:val="00360A60"/>
    <w:rsid w:val="003871B1"/>
    <w:rsid w:val="003935F7"/>
    <w:rsid w:val="00395393"/>
    <w:rsid w:val="00397E9B"/>
    <w:rsid w:val="003A1D6F"/>
    <w:rsid w:val="003A25CD"/>
    <w:rsid w:val="003B5A90"/>
    <w:rsid w:val="003C4646"/>
    <w:rsid w:val="003C4DFE"/>
    <w:rsid w:val="003E01E4"/>
    <w:rsid w:val="003E135C"/>
    <w:rsid w:val="003F4015"/>
    <w:rsid w:val="003F74CD"/>
    <w:rsid w:val="00401FE7"/>
    <w:rsid w:val="00423FDC"/>
    <w:rsid w:val="0042455D"/>
    <w:rsid w:val="00425368"/>
    <w:rsid w:val="00426EBD"/>
    <w:rsid w:val="004271CC"/>
    <w:rsid w:val="00440727"/>
    <w:rsid w:val="00445DA3"/>
    <w:rsid w:val="00460328"/>
    <w:rsid w:val="00496C7E"/>
    <w:rsid w:val="004A63AC"/>
    <w:rsid w:val="004B044E"/>
    <w:rsid w:val="004B6620"/>
    <w:rsid w:val="004C5402"/>
    <w:rsid w:val="004D5184"/>
    <w:rsid w:val="004E0F5E"/>
    <w:rsid w:val="004F0E21"/>
    <w:rsid w:val="00500E85"/>
    <w:rsid w:val="00510EFE"/>
    <w:rsid w:val="00526645"/>
    <w:rsid w:val="00530A16"/>
    <w:rsid w:val="00532BE0"/>
    <w:rsid w:val="00533BC6"/>
    <w:rsid w:val="00536A75"/>
    <w:rsid w:val="00542257"/>
    <w:rsid w:val="00553D49"/>
    <w:rsid w:val="005659B5"/>
    <w:rsid w:val="00571982"/>
    <w:rsid w:val="00576B1D"/>
    <w:rsid w:val="00585C78"/>
    <w:rsid w:val="00585FC3"/>
    <w:rsid w:val="00586DA0"/>
    <w:rsid w:val="005964B7"/>
    <w:rsid w:val="005A1143"/>
    <w:rsid w:val="005A2A2E"/>
    <w:rsid w:val="005A6635"/>
    <w:rsid w:val="005B09C0"/>
    <w:rsid w:val="005C226C"/>
    <w:rsid w:val="005C6717"/>
    <w:rsid w:val="005D6023"/>
    <w:rsid w:val="005D605D"/>
    <w:rsid w:val="005E62D6"/>
    <w:rsid w:val="00602465"/>
    <w:rsid w:val="00602F13"/>
    <w:rsid w:val="00602F92"/>
    <w:rsid w:val="00622C2A"/>
    <w:rsid w:val="00627463"/>
    <w:rsid w:val="00637059"/>
    <w:rsid w:val="00637EDB"/>
    <w:rsid w:val="00645852"/>
    <w:rsid w:val="00646C8B"/>
    <w:rsid w:val="00653FC5"/>
    <w:rsid w:val="00694CB7"/>
    <w:rsid w:val="006A1006"/>
    <w:rsid w:val="006A13EA"/>
    <w:rsid w:val="006A52E6"/>
    <w:rsid w:val="006C015F"/>
    <w:rsid w:val="006C2AC0"/>
    <w:rsid w:val="006C3512"/>
    <w:rsid w:val="006C35C3"/>
    <w:rsid w:val="006C5BA0"/>
    <w:rsid w:val="006C778C"/>
    <w:rsid w:val="006E4461"/>
    <w:rsid w:val="006E6811"/>
    <w:rsid w:val="006F0D0C"/>
    <w:rsid w:val="00707784"/>
    <w:rsid w:val="00730CD7"/>
    <w:rsid w:val="00733762"/>
    <w:rsid w:val="00735956"/>
    <w:rsid w:val="007368B5"/>
    <w:rsid w:val="00740C40"/>
    <w:rsid w:val="00743AD5"/>
    <w:rsid w:val="00743E94"/>
    <w:rsid w:val="00747130"/>
    <w:rsid w:val="00747800"/>
    <w:rsid w:val="007552C1"/>
    <w:rsid w:val="007737BF"/>
    <w:rsid w:val="007876BB"/>
    <w:rsid w:val="00796138"/>
    <w:rsid w:val="00804ADF"/>
    <w:rsid w:val="00810B4B"/>
    <w:rsid w:val="00817876"/>
    <w:rsid w:val="008346EE"/>
    <w:rsid w:val="00861157"/>
    <w:rsid w:val="008742A7"/>
    <w:rsid w:val="008A1BAF"/>
    <w:rsid w:val="008A2DDE"/>
    <w:rsid w:val="008A5FA6"/>
    <w:rsid w:val="008C7F06"/>
    <w:rsid w:val="008D0081"/>
    <w:rsid w:val="008E473F"/>
    <w:rsid w:val="008E7487"/>
    <w:rsid w:val="00913D35"/>
    <w:rsid w:val="0092577C"/>
    <w:rsid w:val="00951010"/>
    <w:rsid w:val="0095244D"/>
    <w:rsid w:val="009563BA"/>
    <w:rsid w:val="00956677"/>
    <w:rsid w:val="00960D7B"/>
    <w:rsid w:val="00980C9A"/>
    <w:rsid w:val="009A1E55"/>
    <w:rsid w:val="009A3D37"/>
    <w:rsid w:val="009A4022"/>
    <w:rsid w:val="009B0680"/>
    <w:rsid w:val="009B2F75"/>
    <w:rsid w:val="009B5FBB"/>
    <w:rsid w:val="009D0756"/>
    <w:rsid w:val="009D1F3E"/>
    <w:rsid w:val="009D38A7"/>
    <w:rsid w:val="009E4C17"/>
    <w:rsid w:val="009F0196"/>
    <w:rsid w:val="009F1093"/>
    <w:rsid w:val="009F5436"/>
    <w:rsid w:val="009F5D96"/>
    <w:rsid w:val="009F7B42"/>
    <w:rsid w:val="00A02CAF"/>
    <w:rsid w:val="00A03599"/>
    <w:rsid w:val="00A20EA8"/>
    <w:rsid w:val="00A21794"/>
    <w:rsid w:val="00A22732"/>
    <w:rsid w:val="00A24A4A"/>
    <w:rsid w:val="00A271E1"/>
    <w:rsid w:val="00A35184"/>
    <w:rsid w:val="00A5505C"/>
    <w:rsid w:val="00A60BF9"/>
    <w:rsid w:val="00A72066"/>
    <w:rsid w:val="00A734AF"/>
    <w:rsid w:val="00A81A21"/>
    <w:rsid w:val="00A84391"/>
    <w:rsid w:val="00A8481A"/>
    <w:rsid w:val="00A90A20"/>
    <w:rsid w:val="00AC6CEE"/>
    <w:rsid w:val="00AE27E5"/>
    <w:rsid w:val="00AE31FF"/>
    <w:rsid w:val="00AF355F"/>
    <w:rsid w:val="00B10B33"/>
    <w:rsid w:val="00B13318"/>
    <w:rsid w:val="00B343D2"/>
    <w:rsid w:val="00B350DA"/>
    <w:rsid w:val="00B35628"/>
    <w:rsid w:val="00B43614"/>
    <w:rsid w:val="00B45506"/>
    <w:rsid w:val="00B456C8"/>
    <w:rsid w:val="00B45964"/>
    <w:rsid w:val="00B64E20"/>
    <w:rsid w:val="00B65B1E"/>
    <w:rsid w:val="00B65C9D"/>
    <w:rsid w:val="00B705AB"/>
    <w:rsid w:val="00B74F46"/>
    <w:rsid w:val="00B75A0A"/>
    <w:rsid w:val="00B80D65"/>
    <w:rsid w:val="00B84294"/>
    <w:rsid w:val="00B90263"/>
    <w:rsid w:val="00B91648"/>
    <w:rsid w:val="00B94395"/>
    <w:rsid w:val="00B943F2"/>
    <w:rsid w:val="00BB03BA"/>
    <w:rsid w:val="00BE0413"/>
    <w:rsid w:val="00BE1939"/>
    <w:rsid w:val="00BE1A2C"/>
    <w:rsid w:val="00BE7510"/>
    <w:rsid w:val="00BF3B9D"/>
    <w:rsid w:val="00C22F8F"/>
    <w:rsid w:val="00C264EE"/>
    <w:rsid w:val="00C379B2"/>
    <w:rsid w:val="00C469CF"/>
    <w:rsid w:val="00C473A5"/>
    <w:rsid w:val="00C5110E"/>
    <w:rsid w:val="00C56EB3"/>
    <w:rsid w:val="00C6241B"/>
    <w:rsid w:val="00C65C55"/>
    <w:rsid w:val="00C70743"/>
    <w:rsid w:val="00C83436"/>
    <w:rsid w:val="00C847BB"/>
    <w:rsid w:val="00C850E1"/>
    <w:rsid w:val="00C95136"/>
    <w:rsid w:val="00CC3258"/>
    <w:rsid w:val="00CC6402"/>
    <w:rsid w:val="00CD4E69"/>
    <w:rsid w:val="00CE0AD0"/>
    <w:rsid w:val="00CE1279"/>
    <w:rsid w:val="00CE64A3"/>
    <w:rsid w:val="00CF0F0E"/>
    <w:rsid w:val="00CF72DA"/>
    <w:rsid w:val="00CF7E0C"/>
    <w:rsid w:val="00D02C1D"/>
    <w:rsid w:val="00D030B5"/>
    <w:rsid w:val="00D03F02"/>
    <w:rsid w:val="00D101B8"/>
    <w:rsid w:val="00D16449"/>
    <w:rsid w:val="00D20688"/>
    <w:rsid w:val="00D371F7"/>
    <w:rsid w:val="00D43FBE"/>
    <w:rsid w:val="00D5146B"/>
    <w:rsid w:val="00D529FB"/>
    <w:rsid w:val="00D96BF2"/>
    <w:rsid w:val="00D97967"/>
    <w:rsid w:val="00DC1123"/>
    <w:rsid w:val="00DC441D"/>
    <w:rsid w:val="00DC6C41"/>
    <w:rsid w:val="00DC7B86"/>
    <w:rsid w:val="00DE2701"/>
    <w:rsid w:val="00DF4834"/>
    <w:rsid w:val="00E01AC0"/>
    <w:rsid w:val="00E1374A"/>
    <w:rsid w:val="00E14802"/>
    <w:rsid w:val="00E148BE"/>
    <w:rsid w:val="00E37947"/>
    <w:rsid w:val="00E4102B"/>
    <w:rsid w:val="00E42B7E"/>
    <w:rsid w:val="00E45438"/>
    <w:rsid w:val="00E46469"/>
    <w:rsid w:val="00E51F93"/>
    <w:rsid w:val="00E542BF"/>
    <w:rsid w:val="00E74721"/>
    <w:rsid w:val="00E77C5A"/>
    <w:rsid w:val="00E8246F"/>
    <w:rsid w:val="00EA249D"/>
    <w:rsid w:val="00EA32F8"/>
    <w:rsid w:val="00EA43F7"/>
    <w:rsid w:val="00EA6DD0"/>
    <w:rsid w:val="00EC7838"/>
    <w:rsid w:val="00ED1401"/>
    <w:rsid w:val="00ED2A33"/>
    <w:rsid w:val="00ED3D45"/>
    <w:rsid w:val="00EF3B6C"/>
    <w:rsid w:val="00F046D8"/>
    <w:rsid w:val="00F057C0"/>
    <w:rsid w:val="00F23B7E"/>
    <w:rsid w:val="00F30800"/>
    <w:rsid w:val="00F30B92"/>
    <w:rsid w:val="00F33240"/>
    <w:rsid w:val="00F40CD7"/>
    <w:rsid w:val="00F41637"/>
    <w:rsid w:val="00F512DA"/>
    <w:rsid w:val="00F54083"/>
    <w:rsid w:val="00F60C1E"/>
    <w:rsid w:val="00F65E01"/>
    <w:rsid w:val="00F73A8F"/>
    <w:rsid w:val="00F74292"/>
    <w:rsid w:val="00F82914"/>
    <w:rsid w:val="00F86A96"/>
    <w:rsid w:val="00F86D08"/>
    <w:rsid w:val="00FC0DAA"/>
    <w:rsid w:val="00FC5C31"/>
    <w:rsid w:val="00FD4436"/>
    <w:rsid w:val="00FD5D14"/>
    <w:rsid w:val="00FE117A"/>
    <w:rsid w:val="00FF09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D1159D"/>
  <w15:docId w15:val="{CEB28BEF-3F91-46DD-954F-273D75415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C6241B"/>
    <w:rPr>
      <w:rFonts w:ascii="Times New Roman" w:eastAsia="Times New Roman" w:hAnsi="Times New Roman"/>
      <w:sz w:val="24"/>
      <w:szCs w:val="24"/>
    </w:rPr>
  </w:style>
  <w:style w:type="paragraph" w:styleId="Kop1">
    <w:name w:val="heading 1"/>
    <w:basedOn w:val="Standaard"/>
    <w:next w:val="Standaard"/>
    <w:link w:val="Kop1Char"/>
    <w:qFormat/>
    <w:rsid w:val="00F86D08"/>
    <w:pPr>
      <w:keepNext/>
      <w:outlineLvl w:val="0"/>
    </w:pPr>
    <w:rPr>
      <w:b/>
      <w:bCs/>
      <w:szCs w:val="20"/>
    </w:rPr>
  </w:style>
  <w:style w:type="paragraph" w:styleId="Kop2">
    <w:name w:val="heading 2"/>
    <w:basedOn w:val="Standaard"/>
    <w:next w:val="Standaard"/>
    <w:qFormat/>
    <w:rsid w:val="00C473A5"/>
    <w:pPr>
      <w:keepNext/>
      <w:spacing w:before="240" w:after="60"/>
      <w:outlineLvl w:val="1"/>
    </w:pPr>
    <w:rPr>
      <w:rFonts w:ascii="Arial" w:hAnsi="Arial" w:cs="Arial"/>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sid w:val="00F86D08"/>
    <w:rPr>
      <w:rFonts w:ascii="Times New Roman" w:eastAsia="Times New Roman" w:hAnsi="Times New Roman" w:cs="Times New Roman"/>
      <w:b/>
      <w:bCs/>
      <w:sz w:val="24"/>
      <w:lang w:eastAsia="nl-NL"/>
    </w:rPr>
  </w:style>
  <w:style w:type="paragraph" w:styleId="Tekstzonderopmaak">
    <w:name w:val="Plain Text"/>
    <w:basedOn w:val="Standaard"/>
    <w:link w:val="TekstzonderopmaakChar"/>
    <w:rsid w:val="00F86D08"/>
    <w:rPr>
      <w:rFonts w:ascii="Courier New" w:hAnsi="Courier New"/>
      <w:sz w:val="20"/>
      <w:szCs w:val="20"/>
    </w:rPr>
  </w:style>
  <w:style w:type="character" w:customStyle="1" w:styleId="TekstzonderopmaakChar">
    <w:name w:val="Tekst zonder opmaak Char"/>
    <w:link w:val="Tekstzonderopmaak"/>
    <w:rsid w:val="00F86D08"/>
    <w:rPr>
      <w:rFonts w:ascii="Courier New" w:eastAsia="Times New Roman" w:hAnsi="Courier New" w:cs="Courier New"/>
      <w:sz w:val="20"/>
      <w:szCs w:val="20"/>
      <w:lang w:eastAsia="nl-NL"/>
    </w:rPr>
  </w:style>
  <w:style w:type="character" w:styleId="Hyperlink">
    <w:name w:val="Hyperlink"/>
    <w:rsid w:val="00F86D08"/>
    <w:rPr>
      <w:color w:val="0000FF"/>
      <w:u w:val="single"/>
    </w:rPr>
  </w:style>
  <w:style w:type="paragraph" w:styleId="Koptekst">
    <w:name w:val="header"/>
    <w:basedOn w:val="Standaard"/>
    <w:link w:val="KoptekstChar"/>
    <w:uiPriority w:val="99"/>
    <w:unhideWhenUsed/>
    <w:rsid w:val="00F60C1E"/>
    <w:pPr>
      <w:tabs>
        <w:tab w:val="center" w:pos="4536"/>
        <w:tab w:val="right" w:pos="9072"/>
      </w:tabs>
    </w:pPr>
  </w:style>
  <w:style w:type="character" w:customStyle="1" w:styleId="KoptekstChar">
    <w:name w:val="Koptekst Char"/>
    <w:link w:val="Koptekst"/>
    <w:uiPriority w:val="99"/>
    <w:rsid w:val="00F60C1E"/>
    <w:rPr>
      <w:rFonts w:ascii="Times New Roman" w:eastAsia="Times New Roman" w:hAnsi="Times New Roman"/>
      <w:sz w:val="24"/>
      <w:szCs w:val="24"/>
    </w:rPr>
  </w:style>
  <w:style w:type="paragraph" w:styleId="Voettekst">
    <w:name w:val="footer"/>
    <w:basedOn w:val="Standaard"/>
    <w:link w:val="VoettekstChar"/>
    <w:uiPriority w:val="99"/>
    <w:unhideWhenUsed/>
    <w:rsid w:val="00F60C1E"/>
    <w:pPr>
      <w:tabs>
        <w:tab w:val="center" w:pos="4536"/>
        <w:tab w:val="right" w:pos="9072"/>
      </w:tabs>
    </w:pPr>
  </w:style>
  <w:style w:type="character" w:customStyle="1" w:styleId="VoettekstChar">
    <w:name w:val="Voettekst Char"/>
    <w:link w:val="Voettekst"/>
    <w:uiPriority w:val="99"/>
    <w:rsid w:val="00F60C1E"/>
    <w:rPr>
      <w:rFonts w:ascii="Times New Roman" w:eastAsia="Times New Roman" w:hAnsi="Times New Roman"/>
      <w:sz w:val="24"/>
      <w:szCs w:val="24"/>
    </w:rPr>
  </w:style>
  <w:style w:type="paragraph" w:styleId="Ballontekst">
    <w:name w:val="Balloon Text"/>
    <w:basedOn w:val="Standaard"/>
    <w:link w:val="BallontekstChar"/>
    <w:uiPriority w:val="99"/>
    <w:semiHidden/>
    <w:unhideWhenUsed/>
    <w:rsid w:val="00F60C1E"/>
    <w:rPr>
      <w:rFonts w:ascii="Tahoma" w:hAnsi="Tahoma"/>
      <w:sz w:val="16"/>
      <w:szCs w:val="16"/>
    </w:rPr>
  </w:style>
  <w:style w:type="character" w:customStyle="1" w:styleId="BallontekstChar">
    <w:name w:val="Ballontekst Char"/>
    <w:link w:val="Ballontekst"/>
    <w:uiPriority w:val="99"/>
    <w:semiHidden/>
    <w:rsid w:val="00F60C1E"/>
    <w:rPr>
      <w:rFonts w:ascii="Tahoma" w:eastAsia="Times New Roman" w:hAnsi="Tahoma" w:cs="Tahoma"/>
      <w:sz w:val="16"/>
      <w:szCs w:val="16"/>
    </w:rPr>
  </w:style>
  <w:style w:type="character" w:styleId="Zwaar">
    <w:name w:val="Strong"/>
    <w:uiPriority w:val="22"/>
    <w:qFormat/>
    <w:rsid w:val="008D0081"/>
    <w:rPr>
      <w:b/>
      <w:bCs/>
    </w:rPr>
  </w:style>
  <w:style w:type="paragraph" w:styleId="Normaalweb">
    <w:name w:val="Normal (Web)"/>
    <w:basedOn w:val="Standaard"/>
    <w:uiPriority w:val="99"/>
    <w:unhideWhenUsed/>
    <w:rsid w:val="008D0081"/>
    <w:pPr>
      <w:spacing w:before="100" w:beforeAutospacing="1" w:after="100" w:afterAutospacing="1"/>
    </w:pPr>
  </w:style>
  <w:style w:type="paragraph" w:styleId="Plattetekst">
    <w:name w:val="Body Text"/>
    <w:basedOn w:val="Standaard"/>
    <w:rsid w:val="00C473A5"/>
    <w:rPr>
      <w:rFonts w:ascii="Garamond" w:hAnsi="Garamond"/>
      <w:b/>
      <w:bCs/>
      <w:i/>
      <w:iCs/>
    </w:rPr>
  </w:style>
  <w:style w:type="paragraph" w:styleId="Lijstalinea">
    <w:name w:val="List Paragraph"/>
    <w:basedOn w:val="Standaard"/>
    <w:qFormat/>
    <w:rsid w:val="00CE0AD0"/>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CE0AD0"/>
    <w:pPr>
      <w:autoSpaceDE w:val="0"/>
      <w:autoSpaceDN w:val="0"/>
      <w:adjustRightInd w:val="0"/>
    </w:pPr>
    <w:rPr>
      <w:rFonts w:ascii="Verdana" w:hAnsi="Verdana" w:cs="Verdana"/>
      <w:color w:val="000000"/>
      <w:sz w:val="24"/>
      <w:szCs w:val="24"/>
    </w:rPr>
  </w:style>
  <w:style w:type="character" w:styleId="Verwijzingopmerking">
    <w:name w:val="annotation reference"/>
    <w:rsid w:val="007552C1"/>
    <w:rPr>
      <w:sz w:val="16"/>
      <w:szCs w:val="16"/>
    </w:rPr>
  </w:style>
  <w:style w:type="paragraph" w:styleId="Tekstopmerking">
    <w:name w:val="annotation text"/>
    <w:basedOn w:val="Standaard"/>
    <w:link w:val="TekstopmerkingChar"/>
    <w:rsid w:val="007552C1"/>
    <w:rPr>
      <w:rFonts w:ascii="Garamond" w:hAnsi="Garamond"/>
      <w:sz w:val="20"/>
      <w:szCs w:val="20"/>
    </w:rPr>
  </w:style>
  <w:style w:type="paragraph" w:styleId="Geenafstand">
    <w:name w:val="No Spacing"/>
    <w:uiPriority w:val="1"/>
    <w:qFormat/>
    <w:rsid w:val="00C6241B"/>
    <w:rPr>
      <w:rFonts w:ascii="Garamond" w:hAnsi="Garamond"/>
      <w:sz w:val="24"/>
      <w:szCs w:val="22"/>
      <w:lang w:eastAsia="en-US"/>
    </w:rPr>
  </w:style>
  <w:style w:type="table" w:styleId="Tabelraster">
    <w:name w:val="Table Grid"/>
    <w:basedOn w:val="Standaardtabel"/>
    <w:uiPriority w:val="59"/>
    <w:rsid w:val="008742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werpvanopmerking">
    <w:name w:val="annotation subject"/>
    <w:basedOn w:val="Tekstopmerking"/>
    <w:next w:val="Tekstopmerking"/>
    <w:link w:val="OnderwerpvanopmerkingChar"/>
    <w:uiPriority w:val="99"/>
    <w:semiHidden/>
    <w:unhideWhenUsed/>
    <w:rsid w:val="00A21794"/>
    <w:rPr>
      <w:rFonts w:ascii="Times New Roman" w:hAnsi="Times New Roman"/>
      <w:b/>
      <w:bCs/>
    </w:rPr>
  </w:style>
  <w:style w:type="character" w:customStyle="1" w:styleId="TekstopmerkingChar">
    <w:name w:val="Tekst opmerking Char"/>
    <w:basedOn w:val="Standaardalinea-lettertype"/>
    <w:link w:val="Tekstopmerking"/>
    <w:rsid w:val="00A21794"/>
    <w:rPr>
      <w:rFonts w:ascii="Garamond" w:eastAsia="Times New Roman" w:hAnsi="Garamond"/>
    </w:rPr>
  </w:style>
  <w:style w:type="character" w:customStyle="1" w:styleId="OnderwerpvanopmerkingChar">
    <w:name w:val="Onderwerp van opmerking Char"/>
    <w:basedOn w:val="TekstopmerkingChar"/>
    <w:link w:val="Onderwerpvanopmerking"/>
    <w:uiPriority w:val="99"/>
    <w:semiHidden/>
    <w:rsid w:val="00A21794"/>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387687">
      <w:bodyDiv w:val="1"/>
      <w:marLeft w:val="0"/>
      <w:marRight w:val="0"/>
      <w:marTop w:val="0"/>
      <w:marBottom w:val="0"/>
      <w:divBdr>
        <w:top w:val="none" w:sz="0" w:space="0" w:color="auto"/>
        <w:left w:val="none" w:sz="0" w:space="0" w:color="auto"/>
        <w:bottom w:val="none" w:sz="0" w:space="0" w:color="auto"/>
        <w:right w:val="none" w:sz="0" w:space="0" w:color="auto"/>
      </w:divBdr>
    </w:div>
    <w:div w:id="1312370726">
      <w:bodyDiv w:val="1"/>
      <w:marLeft w:val="0"/>
      <w:marRight w:val="0"/>
      <w:marTop w:val="0"/>
      <w:marBottom w:val="0"/>
      <w:divBdr>
        <w:top w:val="none" w:sz="0" w:space="0" w:color="auto"/>
        <w:left w:val="none" w:sz="0" w:space="0" w:color="auto"/>
        <w:bottom w:val="none" w:sz="0" w:space="0" w:color="auto"/>
        <w:right w:val="none" w:sz="0" w:space="0" w:color="auto"/>
      </w:divBdr>
    </w:div>
    <w:div w:id="1916429898">
      <w:bodyDiv w:val="1"/>
      <w:marLeft w:val="0"/>
      <w:marRight w:val="0"/>
      <w:marTop w:val="0"/>
      <w:marBottom w:val="0"/>
      <w:divBdr>
        <w:top w:val="none" w:sz="0" w:space="0" w:color="auto"/>
        <w:left w:val="none" w:sz="0" w:space="0" w:color="auto"/>
        <w:bottom w:val="none" w:sz="0" w:space="0" w:color="auto"/>
        <w:right w:val="none" w:sz="0" w:space="0" w:color="auto"/>
      </w:divBdr>
    </w:div>
    <w:div w:id="2107994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forwardfiscalisten.nl"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6147</Words>
  <Characters>33812</Characters>
  <Application>Microsoft Office Word</Application>
  <DocSecurity>0</DocSecurity>
  <Lines>281</Lines>
  <Paragraphs>79</Paragraphs>
  <ScaleCrop>false</ScaleCrop>
  <HeadingPairs>
    <vt:vector size="2" baseType="variant">
      <vt:variant>
        <vt:lpstr>Titel</vt:lpstr>
      </vt:variant>
      <vt:variant>
        <vt:i4>1</vt:i4>
      </vt:variant>
    </vt:vector>
  </HeadingPairs>
  <TitlesOfParts>
    <vt:vector size="1" baseType="lpstr">
      <vt:lpstr>Eenmanszaak of toch BV</vt:lpstr>
    </vt:vector>
  </TitlesOfParts>
  <Company>Hewlett-Packard Company</Company>
  <LinksUpToDate>false</LinksUpToDate>
  <CharactersWithSpaces>39880</CharactersWithSpaces>
  <SharedDoc>false</SharedDoc>
  <HLinks>
    <vt:vector size="6" baseType="variant">
      <vt:variant>
        <vt:i4>1507328</vt:i4>
      </vt:variant>
      <vt:variant>
        <vt:i4>6</vt:i4>
      </vt:variant>
      <vt:variant>
        <vt:i4>0</vt:i4>
      </vt:variant>
      <vt:variant>
        <vt:i4>5</vt:i4>
      </vt:variant>
      <vt:variant>
        <vt:lpwstr>http://www.licentacademy.nl/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Eenmanszaak of toch BV</dc:title>
  <dc:creator>philip</dc:creator>
  <cp:lastModifiedBy>Freek van Wijk</cp:lastModifiedBy>
  <cp:revision>2</cp:revision>
  <cp:lastPrinted>2017-09-18T12:32:00Z</cp:lastPrinted>
  <dcterms:created xsi:type="dcterms:W3CDTF">2017-09-18T15:41:00Z</dcterms:created>
  <dcterms:modified xsi:type="dcterms:W3CDTF">2017-09-18T15:41:00Z</dcterms:modified>
</cp:coreProperties>
</file>